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5"/>
        <w:tblW w:w="0" w:type="auto"/>
        <w:tblLook w:val="04A0" w:firstRow="1" w:lastRow="0" w:firstColumn="1" w:lastColumn="0" w:noHBand="0" w:noVBand="1"/>
      </w:tblPr>
      <w:tblGrid>
        <w:gridCol w:w="10546"/>
      </w:tblGrid>
      <w:tr w:rsidR="008F5251" w:rsidRPr="00900FFB" w:rsidTr="008F5251">
        <w:trPr>
          <w:trHeight w:val="2548"/>
        </w:trPr>
        <w:tc>
          <w:tcPr>
            <w:tcW w:w="10772" w:type="dxa"/>
          </w:tcPr>
          <w:p w:rsidR="008F5251" w:rsidRPr="00900FFB" w:rsidRDefault="003C05A1" w:rsidP="008F5251">
            <w:pPr>
              <w:ind w:right="169"/>
              <w:jc w:val="right"/>
              <w:rPr>
                <w:rFonts w:cs="Arial"/>
                <w:sz w:val="20"/>
                <w:szCs w:val="20"/>
              </w:rPr>
            </w:pPr>
            <w:r w:rsidRPr="003C05A1">
              <w:rPr>
                <w:rFonts w:cs="Arial"/>
                <w:b/>
                <w:noProof/>
                <w:color w:val="FFFFFF"/>
                <w:sz w:val="20"/>
                <w:szCs w:val="20"/>
                <w:lang w:val="en-US" w:eastAsia="zh-TW"/>
              </w:rPr>
              <mc:AlternateContent>
                <mc:Choice Requires="wps">
                  <w:drawing>
                    <wp:anchor distT="45720" distB="45720" distL="114300" distR="114300" simplePos="0" relativeHeight="251706880" behindDoc="0" locked="0" layoutInCell="1" allowOverlap="1">
                      <wp:simplePos x="0" y="0"/>
                      <wp:positionH relativeFrom="column">
                        <wp:posOffset>-68580</wp:posOffset>
                      </wp:positionH>
                      <wp:positionV relativeFrom="paragraph">
                        <wp:posOffset>15875</wp:posOffset>
                      </wp:positionV>
                      <wp:extent cx="363855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rsidR="003C05A1" w:rsidRPr="003C05A1" w:rsidRDefault="003C05A1" w:rsidP="003C05A1">
                                  <w:pPr>
                                    <w:spacing w:before="120" w:line="288" w:lineRule="auto"/>
                                    <w:ind w:right="170"/>
                                    <w:rPr>
                                      <w:rFonts w:cs="Arial"/>
                                      <w:b/>
                                      <w:color w:val="009ED7"/>
                                      <w:sz w:val="24"/>
                                      <w:szCs w:val="24"/>
                                    </w:rPr>
                                  </w:pPr>
                                  <w:r w:rsidRPr="003C05A1">
                                    <w:rPr>
                                      <w:rFonts w:cs="Arial"/>
                                      <w:b/>
                                      <w:color w:val="009ED7"/>
                                      <w:sz w:val="24"/>
                                      <w:szCs w:val="24"/>
                                    </w:rPr>
                                    <w:t>For Professional / Institutional Investors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1.25pt;width:286.5pt;height:110.6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" stroked="f">
                      <v:textbox style="mso-fit-shape-to-text:t">
                        <w:txbxContent>
                          <w:p w:rsidR="003C05A1" w:rsidRPr="003C05A1" w:rsidRDefault="003C05A1" w:rsidP="003C05A1">
                            <w:pPr>
                              <w:spacing w:before="120" w:line="288" w:lineRule="auto"/>
                              <w:ind w:right="170"/>
                              <w:rPr>
                                <w:rFonts w:cs="Arial"/>
                                <w:b/>
                                <w:color w:val="009ED7"/>
                                <w:sz w:val="24"/>
                                <w:szCs w:val="24"/>
                              </w:rPr>
                            </w:pPr>
                            <w:r w:rsidRPr="003C05A1">
                              <w:rPr>
                                <w:rFonts w:cs="Arial"/>
                                <w:b/>
                                <w:color w:val="009ED7"/>
                                <w:sz w:val="24"/>
                                <w:szCs w:val="24"/>
                              </w:rPr>
                              <w:t>For Professional / Institutional Investors only</w:t>
                            </w:r>
                          </w:p>
                        </w:txbxContent>
                      </v:textbox>
                      <w10:wrap type="square"/>
                    </v:shape>
                  </w:pict>
                </mc:Fallback>
              </mc:AlternateContent>
            </w:r>
            <w:r w:rsidR="008F5251" w:rsidRPr="00900FFB">
              <w:rPr>
                <w:rFonts w:cs="Arial"/>
                <w:noProof/>
                <w:sz w:val="20"/>
                <w:szCs w:val="20"/>
                <w:lang w:val="en-US" w:eastAsia="zh-TW"/>
              </w:rPr>
              <w:drawing>
                <wp:inline distT="0" distB="0" distL="0" distR="0" wp14:anchorId="237FCAAA" wp14:editId="788EAA48">
                  <wp:extent cx="1514475" cy="609600"/>
                  <wp:effectExtent l="19050" t="0" r="9525" b="0"/>
                  <wp:docPr id="8" name="Picture 8" descr="F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I Logo.jpg"/>
                          <pic:cNvPicPr>
                            <a:picLocks noChangeAspect="1" noChangeArrowheads="1"/>
                          </pic:cNvPicPr>
                        </pic:nvPicPr>
                        <pic:blipFill>
                          <a:blip r:embed="rId8"/>
                          <a:srcRect/>
                          <a:stretch>
                            <a:fillRect/>
                          </a:stretch>
                        </pic:blipFill>
                        <pic:spPr bwMode="auto">
                          <a:xfrm>
                            <a:off x="0" y="0"/>
                            <a:ext cx="1514475" cy="609600"/>
                          </a:xfrm>
                          <a:prstGeom prst="rect">
                            <a:avLst/>
                          </a:prstGeom>
                          <a:noFill/>
                          <a:ln w="9525">
                            <a:noFill/>
                            <a:miter lim="800000"/>
                            <a:headEnd/>
                            <a:tailEnd/>
                          </a:ln>
                        </pic:spPr>
                      </pic:pic>
                    </a:graphicData>
                  </a:graphic>
                </wp:inline>
              </w:drawing>
            </w:r>
            <w:r w:rsidR="008F5251" w:rsidRPr="00900FFB">
              <w:rPr>
                <w:rFonts w:cs="Arial"/>
                <w:sz w:val="20"/>
                <w:szCs w:val="20"/>
              </w:rPr>
              <w:t xml:space="preserve">      </w:t>
            </w:r>
          </w:p>
        </w:tc>
      </w:tr>
      <w:tr w:rsidR="008F5251" w:rsidRPr="00900FFB" w:rsidTr="008F5251">
        <w:trPr>
          <w:trHeight w:val="1361"/>
        </w:trPr>
        <w:tc>
          <w:tcPr>
            <w:tcW w:w="10772" w:type="dxa"/>
            <w:tcBorders>
              <w:bottom w:val="single" w:sz="18" w:space="0" w:color="FFFFFF"/>
            </w:tcBorders>
            <w:shd w:val="clear" w:color="auto" w:fill="1E4164"/>
            <w:vAlign w:val="center"/>
          </w:tcPr>
          <w:p w:rsidR="008F5251" w:rsidRPr="00900FFB" w:rsidRDefault="008F5251" w:rsidP="008F5251">
            <w:pPr>
              <w:pStyle w:val="Title"/>
              <w:ind w:left="510"/>
              <w:rPr>
                <w:sz w:val="20"/>
                <w:szCs w:val="20"/>
              </w:rPr>
            </w:pPr>
            <w:r w:rsidRPr="00900FFB">
              <w:t>First State Investments - Asian Fixed Income</w:t>
            </w:r>
          </w:p>
        </w:tc>
      </w:tr>
      <w:tr w:rsidR="008F5251" w:rsidRPr="00900FFB" w:rsidTr="008F5251">
        <w:trPr>
          <w:trHeight w:val="680"/>
        </w:trPr>
        <w:tc>
          <w:tcPr>
            <w:tcW w:w="10772" w:type="dxa"/>
            <w:tcBorders>
              <w:top w:val="single" w:sz="18" w:space="0" w:color="FFFFFF"/>
              <w:bottom w:val="single" w:sz="18" w:space="0" w:color="FFFFFF"/>
            </w:tcBorders>
            <w:shd w:val="clear" w:color="auto" w:fill="0096D7"/>
            <w:vAlign w:val="center"/>
          </w:tcPr>
          <w:p w:rsidR="008F5251" w:rsidRPr="00900FFB" w:rsidRDefault="008240C7" w:rsidP="008240C7">
            <w:pPr>
              <w:pStyle w:val="Subtitle"/>
              <w:ind w:left="510"/>
            </w:pPr>
            <w:r>
              <w:t>Asian Fixed Income</w:t>
            </w:r>
          </w:p>
        </w:tc>
      </w:tr>
      <w:tr w:rsidR="008F5251" w:rsidRPr="00900FFB" w:rsidTr="008F5251">
        <w:trPr>
          <w:trHeight w:val="454"/>
        </w:trPr>
        <w:tc>
          <w:tcPr>
            <w:tcW w:w="10772" w:type="dxa"/>
            <w:tcBorders>
              <w:top w:val="single" w:sz="18" w:space="0" w:color="FFFFFF"/>
              <w:bottom w:val="single" w:sz="18" w:space="0" w:color="FFFFFF"/>
            </w:tcBorders>
            <w:shd w:val="clear" w:color="auto" w:fill="A5A5A5"/>
            <w:vAlign w:val="center"/>
          </w:tcPr>
          <w:p w:rsidR="008F5251" w:rsidRPr="00900FFB" w:rsidRDefault="006B11B6" w:rsidP="008F5251">
            <w:pPr>
              <w:ind w:left="510" w:right="169"/>
              <w:rPr>
                <w:rFonts w:cs="Arial"/>
                <w:b/>
                <w:color w:val="FFFFFF"/>
                <w:sz w:val="20"/>
                <w:szCs w:val="20"/>
              </w:rPr>
            </w:pPr>
            <w:r>
              <w:rPr>
                <w:rFonts w:cs="Arial"/>
                <w:b/>
                <w:color w:val="FFFFFF"/>
                <w:sz w:val="20"/>
                <w:szCs w:val="20"/>
              </w:rPr>
              <w:t xml:space="preserve">November </w:t>
            </w:r>
            <w:r w:rsidR="008F5251" w:rsidRPr="00900FFB">
              <w:rPr>
                <w:rFonts w:cs="Arial"/>
                <w:b/>
                <w:color w:val="FFFFFF"/>
                <w:sz w:val="20"/>
                <w:szCs w:val="20"/>
              </w:rPr>
              <w:t>201</w:t>
            </w:r>
            <w:r w:rsidR="008240C7">
              <w:rPr>
                <w:rFonts w:cs="Arial"/>
                <w:b/>
                <w:color w:val="FFFFFF"/>
                <w:sz w:val="20"/>
                <w:szCs w:val="20"/>
              </w:rPr>
              <w:t>8</w:t>
            </w:r>
          </w:p>
        </w:tc>
      </w:tr>
      <w:tr w:rsidR="008F5251" w:rsidRPr="00900FFB" w:rsidTr="00C3033F">
        <w:trPr>
          <w:trHeight w:val="8173"/>
        </w:trPr>
        <w:tc>
          <w:tcPr>
            <w:tcW w:w="10772" w:type="dxa"/>
            <w:tcBorders>
              <w:top w:val="single" w:sz="18" w:space="0" w:color="FFFFFF"/>
              <w:bottom w:val="single" w:sz="18" w:space="0" w:color="FFFFFF"/>
            </w:tcBorders>
            <w:shd w:val="clear" w:color="auto" w:fill="F1F1F1"/>
          </w:tcPr>
          <w:p w:rsidR="008F5251" w:rsidRPr="00900FFB" w:rsidRDefault="008F5251" w:rsidP="008F5251">
            <w:pPr>
              <w:ind w:right="169"/>
              <w:rPr>
                <w:rFonts w:cs="Arial"/>
                <w:b/>
                <w:color w:val="FFFFFF"/>
                <w:sz w:val="20"/>
                <w:szCs w:val="20"/>
              </w:rPr>
            </w:pPr>
          </w:p>
          <w:p w:rsidR="008F5251" w:rsidRPr="00900FFB" w:rsidRDefault="008F5251" w:rsidP="008F5251">
            <w:pPr>
              <w:ind w:right="169"/>
              <w:rPr>
                <w:rFonts w:cs="Arial"/>
                <w:b/>
                <w:color w:val="FFFFFF"/>
                <w:sz w:val="20"/>
                <w:szCs w:val="20"/>
              </w:rPr>
            </w:pPr>
          </w:p>
          <w:p w:rsidR="008F5251" w:rsidRPr="00900FFB" w:rsidRDefault="008F5251" w:rsidP="008F5251">
            <w:pPr>
              <w:ind w:right="169"/>
              <w:rPr>
                <w:rFonts w:cs="Arial"/>
                <w:b/>
                <w:color w:val="FFFFFF"/>
                <w:sz w:val="20"/>
                <w:szCs w:val="20"/>
              </w:rPr>
            </w:pPr>
            <w:r w:rsidRPr="00900FFB">
              <w:rPr>
                <w:rFonts w:cs="Arial"/>
                <w:b/>
                <w:noProof/>
                <w:color w:val="FFFFFF"/>
                <w:sz w:val="20"/>
                <w:szCs w:val="20"/>
                <w:lang w:val="en-US" w:eastAsia="zh-TW"/>
              </w:rPr>
              <mc:AlternateContent>
                <mc:Choice Requires="wps">
                  <w:drawing>
                    <wp:anchor distT="45720" distB="45720" distL="114300" distR="114300" simplePos="0" relativeHeight="251697664" behindDoc="0" locked="0" layoutInCell="1" allowOverlap="1" wp14:anchorId="142773C9" wp14:editId="4891A196">
                      <wp:simplePos x="0" y="0"/>
                      <wp:positionH relativeFrom="column">
                        <wp:posOffset>237490</wp:posOffset>
                      </wp:positionH>
                      <wp:positionV relativeFrom="paragraph">
                        <wp:posOffset>5892893</wp:posOffset>
                      </wp:positionV>
                      <wp:extent cx="5463540" cy="2787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78765"/>
                              </a:xfrm>
                              <a:prstGeom prst="rect">
                                <a:avLst/>
                              </a:prstGeom>
                              <a:noFill/>
                              <a:ln w="9525">
                                <a:noFill/>
                                <a:miter lim="800000"/>
                                <a:headEnd/>
                                <a:tailEnd/>
                              </a:ln>
                            </wps:spPr>
                            <wps:txbx>
                              <w:txbxContent>
                                <w:p w:rsidR="009F4598" w:rsidRPr="008261B0" w:rsidRDefault="009F4598" w:rsidP="008F5251">
                                  <w:pPr>
                                    <w:rPr>
                                      <w:b/>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773C9" id="_x0000_s1027" type="#_x0000_t202" style="position:absolute;margin-left:18.7pt;margin-top:464pt;width:430.2pt;height:21.9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" filled="f" stroked="f">
                      <v:textbox>
                        <w:txbxContent>
                          <w:p w:rsidR="009F4598" w:rsidRPr="008261B0" w:rsidRDefault="009F4598" w:rsidP="008F5251">
                            <w:pPr>
                              <w:rPr>
                                <w:b/>
                                <w:sz w:val="20"/>
                                <w:szCs w:val="20"/>
                                <w:lang w:val="en-US"/>
                              </w:rPr>
                            </w:pPr>
                          </w:p>
                        </w:txbxContent>
                      </v:textbox>
                      <w10:wrap type="square"/>
                    </v:shape>
                  </w:pict>
                </mc:Fallback>
              </mc:AlternateContent>
            </w:r>
          </w:p>
        </w:tc>
      </w:tr>
    </w:tbl>
    <w:p w:rsidR="00343B46" w:rsidRPr="00900FFB" w:rsidRDefault="00343B46" w:rsidP="007F54C7">
      <w:pPr>
        <w:ind w:right="169"/>
        <w:rPr>
          <w:rFonts w:cs="Arial"/>
          <w:color w:val="0096D7"/>
          <w:sz w:val="20"/>
          <w:szCs w:val="20"/>
        </w:rPr>
        <w:sectPr w:rsidR="00343B46" w:rsidRPr="00900FFB" w:rsidSect="00C3033F">
          <w:headerReference w:type="default" r:id="rId9"/>
          <w:footerReference w:type="default" r:id="rId10"/>
          <w:pgSz w:w="11906" w:h="16838"/>
          <w:pgMar w:top="680" w:right="680" w:bottom="709" w:left="680" w:header="709" w:footer="284" w:gutter="0"/>
          <w:cols w:space="708"/>
          <w:titlePg/>
          <w:docGrid w:linePitch="360"/>
        </w:sectPr>
      </w:pPr>
    </w:p>
    <w:p w:rsidR="00E14049" w:rsidRPr="00900FFB" w:rsidRDefault="00E14049" w:rsidP="00C3033F">
      <w:pPr>
        <w:spacing w:before="120" w:line="288" w:lineRule="auto"/>
        <w:ind w:right="170"/>
        <w:rPr>
          <w:rFonts w:cs="Arial"/>
          <w:b/>
          <w:color w:val="009ED7"/>
          <w:sz w:val="24"/>
          <w:szCs w:val="24"/>
        </w:rPr>
      </w:pPr>
      <w:r w:rsidRPr="00900FFB">
        <w:rPr>
          <w:rFonts w:cs="Arial"/>
          <w:b/>
          <w:color w:val="009ED7"/>
          <w:sz w:val="24"/>
          <w:szCs w:val="24"/>
        </w:rPr>
        <w:lastRenderedPageBreak/>
        <w:t>Contents</w:t>
      </w:r>
    </w:p>
    <w:p w:rsidR="000D5B73" w:rsidRPr="00900FFB" w:rsidRDefault="000D5B73" w:rsidP="00C3033F">
      <w:pPr>
        <w:spacing w:before="120" w:line="288" w:lineRule="auto"/>
        <w:ind w:right="169"/>
        <w:rPr>
          <w:rFonts w:cs="Arial"/>
          <w:color w:val="009ED7"/>
          <w:sz w:val="24"/>
          <w:szCs w:val="24"/>
        </w:rPr>
      </w:pPr>
    </w:p>
    <w:p w:rsidR="004A5568" w:rsidRPr="00900FFB" w:rsidRDefault="00966A35" w:rsidP="00C3033F">
      <w:pPr>
        <w:pStyle w:val="TOC1"/>
        <w:tabs>
          <w:tab w:val="clear" w:pos="9072"/>
          <w:tab w:val="right" w:pos="9781"/>
        </w:tabs>
        <w:ind w:left="0"/>
        <w:rPr>
          <w:rFonts w:cs="Arial"/>
        </w:rPr>
      </w:pPr>
      <w:r w:rsidRPr="00900FFB">
        <w:rPr>
          <w:rFonts w:cs="Arial"/>
        </w:rPr>
        <w:t>The Outlook for Asia</w:t>
      </w:r>
      <w:r w:rsidR="00EB58D3" w:rsidRPr="00900FFB">
        <w:rPr>
          <w:rFonts w:cs="Arial"/>
        </w:rPr>
        <w:fldChar w:fldCharType="begin"/>
      </w:r>
      <w:r w:rsidR="00855952" w:rsidRPr="00900FFB">
        <w:rPr>
          <w:rFonts w:cs="Arial"/>
        </w:rPr>
        <w:instrText xml:space="preserve"> TOC \o "1-1" \h \z \t "Heading 1 Numbered,1" </w:instrText>
      </w:r>
      <w:r w:rsidR="00EB58D3" w:rsidRPr="00900FFB">
        <w:rPr>
          <w:rFonts w:cs="Arial"/>
        </w:rPr>
        <w:fldChar w:fldCharType="separate"/>
      </w:r>
      <w:hyperlink w:anchor="_Toc449108516" w:history="1">
        <w:r w:rsidR="004A5568" w:rsidRPr="00900FFB">
          <w:rPr>
            <w:rFonts w:cs="Arial"/>
            <w:webHidden/>
          </w:rPr>
          <w:tab/>
        </w:r>
        <w:r w:rsidR="004A5568" w:rsidRPr="00900FFB">
          <w:rPr>
            <w:rFonts w:cs="Arial"/>
            <w:webHidden/>
          </w:rPr>
          <w:fldChar w:fldCharType="begin"/>
        </w:r>
        <w:r w:rsidR="004A5568" w:rsidRPr="00900FFB">
          <w:rPr>
            <w:rFonts w:cs="Arial"/>
            <w:webHidden/>
          </w:rPr>
          <w:instrText xml:space="preserve"> PAGEREF _Toc449108516 \h </w:instrText>
        </w:r>
        <w:r w:rsidR="004A5568" w:rsidRPr="00900FFB">
          <w:rPr>
            <w:rFonts w:cs="Arial"/>
            <w:webHidden/>
          </w:rPr>
        </w:r>
        <w:r w:rsidR="004A5568" w:rsidRPr="00900FFB">
          <w:rPr>
            <w:rFonts w:cs="Arial"/>
            <w:webHidden/>
          </w:rPr>
          <w:fldChar w:fldCharType="separate"/>
        </w:r>
        <w:r w:rsidR="006B11B6">
          <w:rPr>
            <w:rFonts w:cs="Arial"/>
            <w:noProof/>
            <w:webHidden/>
          </w:rPr>
          <w:t>1</w:t>
        </w:r>
        <w:r w:rsidR="004A5568" w:rsidRPr="00900FFB">
          <w:rPr>
            <w:rFonts w:cs="Arial"/>
            <w:webHidden/>
          </w:rPr>
          <w:fldChar w:fldCharType="end"/>
        </w:r>
      </w:hyperlink>
    </w:p>
    <w:p w:rsidR="004A5568" w:rsidRPr="00900FFB" w:rsidRDefault="00D20C22" w:rsidP="00C3033F">
      <w:pPr>
        <w:pStyle w:val="TOC1"/>
        <w:tabs>
          <w:tab w:val="clear" w:pos="9072"/>
          <w:tab w:val="right" w:pos="9781"/>
        </w:tabs>
        <w:ind w:left="0"/>
        <w:rPr>
          <w:rFonts w:cs="Arial"/>
        </w:rPr>
      </w:pPr>
      <w:hyperlink w:anchor="_Toc449108518" w:history="1">
        <w:r w:rsidR="00966A35" w:rsidRPr="00900FFB">
          <w:rPr>
            <w:rFonts w:cs="Arial"/>
          </w:rPr>
          <w:t>Why Asian Fixed Income</w:t>
        </w:r>
        <w:r w:rsidR="004A5568" w:rsidRPr="00900FFB">
          <w:rPr>
            <w:rFonts w:cs="Arial"/>
          </w:rPr>
          <w:t xml:space="preserve"> </w:t>
        </w:r>
        <w:r w:rsidR="004A5568" w:rsidRPr="00900FFB">
          <w:rPr>
            <w:rFonts w:cs="Arial"/>
            <w:webHidden/>
          </w:rPr>
          <w:tab/>
        </w:r>
        <w:r w:rsidR="009F0D2B">
          <w:rPr>
            <w:rFonts w:cs="Arial"/>
            <w:webHidden/>
          </w:rPr>
          <w:t>4</w:t>
        </w:r>
      </w:hyperlink>
    </w:p>
    <w:p w:rsidR="00B5489C" w:rsidRPr="00900FFB" w:rsidRDefault="00EB58D3" w:rsidP="00C3033F">
      <w:pPr>
        <w:pStyle w:val="TOC1"/>
        <w:tabs>
          <w:tab w:val="clear" w:pos="9072"/>
          <w:tab w:val="right" w:pos="9781"/>
        </w:tabs>
        <w:ind w:left="0"/>
        <w:rPr>
          <w:rFonts w:cs="Arial"/>
          <w:color w:val="0096D7"/>
          <w:sz w:val="20"/>
          <w:szCs w:val="20"/>
        </w:rPr>
      </w:pPr>
      <w:r w:rsidRPr="00900FFB">
        <w:rPr>
          <w:rFonts w:cs="Arial"/>
        </w:rPr>
        <w:fldChar w:fldCharType="end"/>
      </w:r>
    </w:p>
    <w:bookmarkStart w:id="0" w:name="_Toc365880108"/>
    <w:bookmarkStart w:id="1" w:name="_Toc449108458"/>
    <w:bookmarkStart w:id="2" w:name="_Toc449108515"/>
    <w:bookmarkStart w:id="3" w:name="_Toc241919101"/>
    <w:p w:rsidR="005E5007" w:rsidRPr="00900FFB" w:rsidRDefault="00740FEA" w:rsidP="007F54C7">
      <w:pPr>
        <w:pStyle w:val="Heading1Numbered"/>
        <w:numPr>
          <w:ilvl w:val="0"/>
          <w:numId w:val="0"/>
        </w:numPr>
        <w:spacing w:before="0"/>
        <w:rPr>
          <w:rFonts w:cs="Arial"/>
          <w:szCs w:val="20"/>
        </w:rPr>
      </w:pPr>
      <w:r w:rsidRPr="00900FFB">
        <w:rPr>
          <w:rFonts w:cs="Arial"/>
          <w:noProof/>
          <w:szCs w:val="20"/>
          <w:lang w:val="en-US" w:eastAsia="zh-TW"/>
        </w:rPr>
        <mc:AlternateContent>
          <mc:Choice Requires="wps">
            <w:drawing>
              <wp:anchor distT="0" distB="0" distL="114300" distR="114300" simplePos="0" relativeHeight="251658752" behindDoc="0" locked="0" layoutInCell="1" allowOverlap="1" wp14:anchorId="76852A9C" wp14:editId="6DC096E2">
                <wp:simplePos x="0" y="0"/>
                <wp:positionH relativeFrom="column">
                  <wp:posOffset>3484245</wp:posOffset>
                </wp:positionH>
                <wp:positionV relativeFrom="paragraph">
                  <wp:posOffset>7496810</wp:posOffset>
                </wp:positionV>
                <wp:extent cx="138430" cy="159385"/>
                <wp:effectExtent l="4445" t="635" r="0" b="190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9385"/>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6549D" id="Rectangle 7" o:spid="_x0000_s1026" style="position:absolute;margin-left:274.35pt;margin-top:590.3pt;width:10.9pt;height:1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" fillcolor="#f7f7f7" stroked="f"/>
            </w:pict>
          </mc:Fallback>
        </mc:AlternateContent>
      </w:r>
      <w:bookmarkEnd w:id="0"/>
      <w:bookmarkEnd w:id="1"/>
      <w:bookmarkEnd w:id="2"/>
      <w:r w:rsidR="00C21943" w:rsidRPr="00900FFB">
        <w:rPr>
          <w:rFonts w:cs="Arial"/>
          <w:szCs w:val="20"/>
        </w:rPr>
        <w:br w:type="page"/>
      </w:r>
    </w:p>
    <w:p w:rsidR="00B301D1" w:rsidRPr="00900FFB" w:rsidRDefault="00B301D1" w:rsidP="00741365">
      <w:pPr>
        <w:spacing w:after="240" w:line="288" w:lineRule="auto"/>
        <w:ind w:right="323"/>
        <w:jc w:val="both"/>
        <w:rPr>
          <w:rFonts w:cs="Arial"/>
          <w:b/>
          <w:color w:val="0A96D7"/>
          <w:sz w:val="22"/>
        </w:rPr>
      </w:pPr>
      <w:bookmarkStart w:id="4" w:name="_Toc449108516"/>
      <w:bookmarkEnd w:id="3"/>
      <w:r w:rsidRPr="00900FFB">
        <w:rPr>
          <w:rFonts w:cs="Arial"/>
          <w:b/>
          <w:color w:val="0A96D7"/>
          <w:sz w:val="22"/>
        </w:rPr>
        <w:lastRenderedPageBreak/>
        <w:t>The Outlook for Asia</w:t>
      </w:r>
    </w:p>
    <w:p w:rsidR="002B0871" w:rsidRPr="00900FFB" w:rsidRDefault="00B301D1" w:rsidP="002B0871">
      <w:pPr>
        <w:spacing w:after="60" w:line="280" w:lineRule="exact"/>
        <w:ind w:right="317"/>
        <w:jc w:val="both"/>
        <w:rPr>
          <w:rFonts w:cs="Arial"/>
          <w:color w:val="000000" w:themeColor="text1"/>
          <w:sz w:val="20"/>
          <w:szCs w:val="20"/>
        </w:rPr>
      </w:pPr>
      <w:r w:rsidRPr="00900FFB">
        <w:rPr>
          <w:rFonts w:cs="Arial"/>
          <w:color w:val="000000" w:themeColor="text1"/>
          <w:sz w:val="20"/>
          <w:szCs w:val="20"/>
        </w:rPr>
        <w:t xml:space="preserve">The </w:t>
      </w:r>
      <w:r w:rsidR="00D64A03" w:rsidRPr="00900FFB">
        <w:rPr>
          <w:rFonts w:cs="Arial"/>
          <w:color w:val="000000" w:themeColor="text1"/>
          <w:sz w:val="20"/>
          <w:szCs w:val="20"/>
        </w:rPr>
        <w:t xml:space="preserve">market </w:t>
      </w:r>
      <w:r w:rsidRPr="00900FFB">
        <w:rPr>
          <w:rFonts w:cs="Arial"/>
          <w:color w:val="000000" w:themeColor="text1"/>
          <w:sz w:val="20"/>
          <w:szCs w:val="20"/>
        </w:rPr>
        <w:t xml:space="preserve">outlook for Asia and </w:t>
      </w:r>
      <w:r w:rsidR="00284B91">
        <w:rPr>
          <w:rFonts w:cs="Arial"/>
          <w:color w:val="000000" w:themeColor="text1"/>
          <w:sz w:val="20"/>
          <w:szCs w:val="20"/>
        </w:rPr>
        <w:t xml:space="preserve">the </w:t>
      </w:r>
      <w:r w:rsidRPr="00900FFB">
        <w:rPr>
          <w:rFonts w:cs="Arial"/>
          <w:color w:val="000000" w:themeColor="text1"/>
          <w:sz w:val="20"/>
          <w:szCs w:val="20"/>
        </w:rPr>
        <w:t>bond market demand remains positive</w:t>
      </w:r>
      <w:r w:rsidR="00D64A03" w:rsidRPr="00900FFB">
        <w:rPr>
          <w:rFonts w:cs="Arial"/>
          <w:color w:val="000000" w:themeColor="text1"/>
          <w:sz w:val="20"/>
          <w:szCs w:val="20"/>
        </w:rPr>
        <w:t xml:space="preserve"> according to </w:t>
      </w:r>
      <w:r w:rsidRPr="00900FFB">
        <w:rPr>
          <w:rFonts w:cs="Arial"/>
          <w:color w:val="000000" w:themeColor="text1"/>
          <w:sz w:val="20"/>
          <w:szCs w:val="20"/>
        </w:rPr>
        <w:t xml:space="preserve">our analysis. </w:t>
      </w:r>
      <w:r w:rsidR="00284B91">
        <w:rPr>
          <w:rFonts w:cs="Arial"/>
          <w:color w:val="000000" w:themeColor="text1"/>
          <w:sz w:val="20"/>
          <w:szCs w:val="20"/>
        </w:rPr>
        <w:t>G</w:t>
      </w:r>
      <w:r w:rsidRPr="00900FFB">
        <w:rPr>
          <w:rFonts w:cs="Arial"/>
          <w:color w:val="000000" w:themeColor="text1"/>
          <w:sz w:val="20"/>
          <w:szCs w:val="20"/>
        </w:rPr>
        <w:t xml:space="preserve">rowth outlook remains </w:t>
      </w:r>
      <w:r w:rsidR="00D64A03" w:rsidRPr="00900FFB">
        <w:rPr>
          <w:rFonts w:cs="Arial"/>
          <w:color w:val="000000" w:themeColor="text1"/>
          <w:sz w:val="20"/>
          <w:szCs w:val="20"/>
        </w:rPr>
        <w:t>constructive</w:t>
      </w:r>
      <w:r w:rsidRPr="00900FFB">
        <w:rPr>
          <w:rFonts w:cs="Arial"/>
          <w:color w:val="000000" w:themeColor="text1"/>
          <w:sz w:val="20"/>
          <w:szCs w:val="20"/>
        </w:rPr>
        <w:t>, inflation contained</w:t>
      </w:r>
      <w:r w:rsidR="00284B91">
        <w:rPr>
          <w:rFonts w:cs="Arial"/>
          <w:color w:val="000000" w:themeColor="text1"/>
          <w:sz w:val="20"/>
          <w:szCs w:val="20"/>
        </w:rPr>
        <w:t>,</w:t>
      </w:r>
      <w:r w:rsidRPr="00900FFB">
        <w:rPr>
          <w:rFonts w:cs="Arial"/>
          <w:color w:val="000000" w:themeColor="text1"/>
          <w:sz w:val="20"/>
          <w:szCs w:val="20"/>
        </w:rPr>
        <w:t xml:space="preserve"> and </w:t>
      </w:r>
      <w:r w:rsidR="00284B91">
        <w:rPr>
          <w:rFonts w:cs="Arial"/>
          <w:color w:val="000000" w:themeColor="text1"/>
          <w:sz w:val="20"/>
          <w:szCs w:val="20"/>
        </w:rPr>
        <w:t xml:space="preserve">Asia’s </w:t>
      </w:r>
      <w:r w:rsidRPr="00900FFB">
        <w:rPr>
          <w:rFonts w:cs="Arial"/>
          <w:color w:val="000000" w:themeColor="text1"/>
          <w:sz w:val="20"/>
          <w:szCs w:val="20"/>
        </w:rPr>
        <w:t>central bank rates</w:t>
      </w:r>
      <w:r w:rsidR="00BE4465">
        <w:rPr>
          <w:rFonts w:cs="Arial"/>
          <w:color w:val="000000" w:themeColor="text1"/>
          <w:sz w:val="20"/>
          <w:szCs w:val="20"/>
        </w:rPr>
        <w:t xml:space="preserve"> are higher than in </w:t>
      </w:r>
      <w:r w:rsidR="00367C9E">
        <w:rPr>
          <w:rFonts w:cs="Arial"/>
          <w:color w:val="000000" w:themeColor="text1"/>
          <w:sz w:val="20"/>
          <w:szCs w:val="20"/>
        </w:rPr>
        <w:t>d</w:t>
      </w:r>
      <w:r w:rsidR="00284B91">
        <w:rPr>
          <w:rFonts w:cs="Arial"/>
          <w:color w:val="000000" w:themeColor="text1"/>
          <w:sz w:val="20"/>
          <w:szCs w:val="20"/>
        </w:rPr>
        <w:t>eveloped markets and thus leave bullets in the case of growth decline</w:t>
      </w:r>
      <w:r w:rsidRPr="00900FFB">
        <w:rPr>
          <w:rFonts w:cs="Arial"/>
          <w:color w:val="000000" w:themeColor="text1"/>
          <w:sz w:val="20"/>
          <w:szCs w:val="20"/>
        </w:rPr>
        <w:t>.  On the negative side</w:t>
      </w:r>
      <w:r w:rsidR="00284B91">
        <w:rPr>
          <w:rFonts w:cs="Arial"/>
          <w:color w:val="000000" w:themeColor="text1"/>
          <w:sz w:val="20"/>
          <w:szCs w:val="20"/>
        </w:rPr>
        <w:t>, there</w:t>
      </w:r>
      <w:r w:rsidRPr="00900FFB">
        <w:rPr>
          <w:rFonts w:cs="Arial"/>
          <w:color w:val="000000" w:themeColor="text1"/>
          <w:sz w:val="20"/>
          <w:szCs w:val="20"/>
        </w:rPr>
        <w:t xml:space="preserve"> is a growing demographic </w:t>
      </w:r>
      <w:r w:rsidR="00D64A03" w:rsidRPr="00900FFB">
        <w:rPr>
          <w:rFonts w:cs="Arial"/>
          <w:color w:val="000000" w:themeColor="text1"/>
          <w:sz w:val="20"/>
          <w:szCs w:val="20"/>
        </w:rPr>
        <w:t xml:space="preserve">pressure </w:t>
      </w:r>
      <w:r w:rsidRPr="00900FFB">
        <w:rPr>
          <w:rFonts w:cs="Arial"/>
          <w:color w:val="000000" w:themeColor="text1"/>
          <w:sz w:val="20"/>
          <w:szCs w:val="20"/>
        </w:rPr>
        <w:t xml:space="preserve">that will </w:t>
      </w:r>
      <w:r w:rsidR="00D64A03" w:rsidRPr="00900FFB">
        <w:rPr>
          <w:rFonts w:cs="Arial"/>
          <w:color w:val="000000" w:themeColor="text1"/>
          <w:sz w:val="20"/>
          <w:szCs w:val="20"/>
        </w:rPr>
        <w:t xml:space="preserve">require </w:t>
      </w:r>
      <w:r w:rsidRPr="00900FFB">
        <w:rPr>
          <w:rFonts w:cs="Arial"/>
          <w:color w:val="000000" w:themeColor="text1"/>
          <w:sz w:val="20"/>
          <w:szCs w:val="20"/>
        </w:rPr>
        <w:t xml:space="preserve">the need to develop </w:t>
      </w:r>
      <w:r w:rsidR="00D64A03" w:rsidRPr="00900FFB">
        <w:rPr>
          <w:rFonts w:cs="Arial"/>
          <w:color w:val="000000" w:themeColor="text1"/>
          <w:sz w:val="20"/>
          <w:szCs w:val="20"/>
        </w:rPr>
        <w:t xml:space="preserve">sustainable </w:t>
      </w:r>
      <w:r w:rsidRPr="00900FFB">
        <w:rPr>
          <w:rFonts w:cs="Arial"/>
          <w:color w:val="000000" w:themeColor="text1"/>
          <w:sz w:val="20"/>
          <w:szCs w:val="20"/>
        </w:rPr>
        <w:t xml:space="preserve">pension systems.  We think about this in the context of </w:t>
      </w:r>
      <w:r w:rsidR="00D64A03" w:rsidRPr="00900FFB">
        <w:rPr>
          <w:rFonts w:cs="Arial"/>
          <w:color w:val="000000" w:themeColor="text1"/>
          <w:sz w:val="20"/>
          <w:szCs w:val="20"/>
        </w:rPr>
        <w:t xml:space="preserve">a </w:t>
      </w:r>
      <w:r w:rsidRPr="00900FFB">
        <w:rPr>
          <w:rFonts w:cs="Arial"/>
          <w:color w:val="000000" w:themeColor="text1"/>
          <w:sz w:val="20"/>
          <w:szCs w:val="20"/>
        </w:rPr>
        <w:t xml:space="preserve">very strong </w:t>
      </w:r>
      <w:r w:rsidR="00284B91">
        <w:rPr>
          <w:rFonts w:cs="Arial"/>
          <w:color w:val="000000" w:themeColor="text1"/>
          <w:sz w:val="20"/>
          <w:szCs w:val="20"/>
        </w:rPr>
        <w:t xml:space="preserve">size </w:t>
      </w:r>
      <w:r w:rsidRPr="00900FFB">
        <w:rPr>
          <w:rFonts w:cs="Arial"/>
          <w:color w:val="000000" w:themeColor="text1"/>
          <w:sz w:val="20"/>
          <w:szCs w:val="20"/>
        </w:rPr>
        <w:t xml:space="preserve">growth of </w:t>
      </w:r>
      <w:r w:rsidR="00284B91">
        <w:rPr>
          <w:rFonts w:cs="Arial"/>
          <w:color w:val="000000" w:themeColor="text1"/>
          <w:sz w:val="20"/>
          <w:szCs w:val="20"/>
        </w:rPr>
        <w:t xml:space="preserve">the Asian USD credit market and </w:t>
      </w:r>
      <w:r w:rsidRPr="00900FFB">
        <w:rPr>
          <w:rFonts w:cs="Arial"/>
          <w:color w:val="000000" w:themeColor="text1"/>
          <w:sz w:val="20"/>
          <w:szCs w:val="20"/>
        </w:rPr>
        <w:t>looking</w:t>
      </w:r>
      <w:r w:rsidR="00D64A03" w:rsidRPr="00900FFB">
        <w:rPr>
          <w:rFonts w:cs="Arial"/>
          <w:color w:val="000000" w:themeColor="text1"/>
          <w:sz w:val="20"/>
          <w:szCs w:val="20"/>
        </w:rPr>
        <w:t xml:space="preserve"> </w:t>
      </w:r>
      <w:r w:rsidR="00EA326B" w:rsidRPr="00900FFB">
        <w:rPr>
          <w:rFonts w:cs="Arial"/>
          <w:color w:val="000000" w:themeColor="text1"/>
          <w:sz w:val="20"/>
          <w:szCs w:val="20"/>
        </w:rPr>
        <w:t xml:space="preserve">forward </w:t>
      </w:r>
      <w:r w:rsidR="00284B91">
        <w:rPr>
          <w:rFonts w:cs="Arial"/>
          <w:color w:val="000000" w:themeColor="text1"/>
          <w:sz w:val="20"/>
          <w:szCs w:val="20"/>
        </w:rPr>
        <w:t xml:space="preserve">we believe </w:t>
      </w:r>
      <w:r w:rsidR="00EA326B" w:rsidRPr="00900FFB">
        <w:rPr>
          <w:rFonts w:cs="Arial"/>
          <w:color w:val="000000" w:themeColor="text1"/>
          <w:sz w:val="20"/>
          <w:szCs w:val="20"/>
        </w:rPr>
        <w:t>the</w:t>
      </w:r>
      <w:r w:rsidRPr="00900FFB">
        <w:rPr>
          <w:rFonts w:cs="Arial"/>
          <w:color w:val="000000" w:themeColor="text1"/>
          <w:sz w:val="20"/>
          <w:szCs w:val="20"/>
        </w:rPr>
        <w:t xml:space="preserve"> demand dynamic for Asian Investment Grad</w:t>
      </w:r>
      <w:r w:rsidR="00741365" w:rsidRPr="00900FFB">
        <w:rPr>
          <w:rFonts w:cs="Arial"/>
          <w:color w:val="000000" w:themeColor="text1"/>
          <w:sz w:val="20"/>
          <w:szCs w:val="20"/>
        </w:rPr>
        <w:t>e credit should remain robust.</w:t>
      </w:r>
    </w:p>
    <w:p w:rsidR="00FA515D" w:rsidRPr="00900FFB" w:rsidRDefault="00FA515D" w:rsidP="002B0871">
      <w:pPr>
        <w:spacing w:after="60" w:line="280" w:lineRule="exact"/>
        <w:ind w:right="317"/>
        <w:jc w:val="both"/>
        <w:rPr>
          <w:rFonts w:cs="Arial"/>
          <w:b/>
          <w:color w:val="000000" w:themeColor="text1"/>
          <w:sz w:val="20"/>
          <w:szCs w:val="20"/>
        </w:rPr>
      </w:pPr>
      <w:r w:rsidRPr="00900FFB">
        <w:rPr>
          <w:rFonts w:cs="Arial"/>
          <w:b/>
          <w:color w:val="000000" w:themeColor="text1"/>
          <w:sz w:val="20"/>
          <w:szCs w:val="20"/>
        </w:rPr>
        <w:t xml:space="preserve">Outlook for Economic </w:t>
      </w:r>
      <w:r w:rsidR="000D5B73" w:rsidRPr="00900FFB">
        <w:rPr>
          <w:rFonts w:cs="Arial"/>
          <w:b/>
          <w:color w:val="000000" w:themeColor="text1"/>
          <w:sz w:val="20"/>
          <w:szCs w:val="20"/>
        </w:rPr>
        <w:t>Growth</w:t>
      </w:r>
      <w:r w:rsidRPr="00900FFB">
        <w:rPr>
          <w:rFonts w:cs="Arial"/>
          <w:b/>
          <w:color w:val="000000" w:themeColor="text1"/>
          <w:sz w:val="20"/>
          <w:szCs w:val="20"/>
        </w:rPr>
        <w:t xml:space="preserve"> in Asia </w:t>
      </w:r>
    </w:p>
    <w:p w:rsidR="00284B91" w:rsidRDefault="004A641E" w:rsidP="002B0871">
      <w:pPr>
        <w:spacing w:after="60" w:line="280" w:lineRule="exact"/>
        <w:ind w:right="317"/>
        <w:jc w:val="both"/>
        <w:rPr>
          <w:rFonts w:cs="Arial"/>
          <w:color w:val="000000" w:themeColor="text1"/>
          <w:sz w:val="20"/>
          <w:szCs w:val="20"/>
        </w:rPr>
      </w:pPr>
      <w:r>
        <w:rPr>
          <w:rFonts w:cs="Arial"/>
          <w:color w:val="000000" w:themeColor="text1"/>
          <w:sz w:val="20"/>
          <w:szCs w:val="20"/>
        </w:rPr>
        <w:t>Asia</w:t>
      </w:r>
      <w:r w:rsidR="00A90A0A">
        <w:rPr>
          <w:rFonts w:cs="Arial"/>
          <w:color w:val="000000" w:themeColor="text1"/>
          <w:sz w:val="20"/>
          <w:szCs w:val="20"/>
        </w:rPr>
        <w:t xml:space="preserve"> s</w:t>
      </w:r>
      <w:r w:rsidR="00694E75">
        <w:rPr>
          <w:rFonts w:cs="Arial"/>
          <w:color w:val="000000" w:themeColor="text1"/>
          <w:sz w:val="20"/>
          <w:szCs w:val="20"/>
        </w:rPr>
        <w:t xml:space="preserve">table </w:t>
      </w:r>
      <w:r>
        <w:rPr>
          <w:rFonts w:cs="Arial"/>
          <w:color w:val="000000" w:themeColor="text1"/>
          <w:sz w:val="20"/>
          <w:szCs w:val="20"/>
        </w:rPr>
        <w:t xml:space="preserve">and robust economic growth </w:t>
      </w:r>
      <w:r w:rsidR="00A16291">
        <w:rPr>
          <w:rFonts w:cs="Arial"/>
          <w:color w:val="000000" w:themeColor="text1"/>
          <w:sz w:val="20"/>
          <w:szCs w:val="20"/>
        </w:rPr>
        <w:t xml:space="preserve">in the past decades </w:t>
      </w:r>
      <w:r>
        <w:rPr>
          <w:rFonts w:cs="Arial"/>
          <w:color w:val="000000" w:themeColor="text1"/>
          <w:sz w:val="20"/>
          <w:szCs w:val="20"/>
        </w:rPr>
        <w:t>has increased the region</w:t>
      </w:r>
      <w:r w:rsidR="00694E75">
        <w:rPr>
          <w:rFonts w:cs="Arial"/>
          <w:color w:val="000000" w:themeColor="text1"/>
          <w:sz w:val="20"/>
          <w:szCs w:val="20"/>
        </w:rPr>
        <w:t xml:space="preserve"> significance </w:t>
      </w:r>
      <w:r w:rsidR="00A16291">
        <w:rPr>
          <w:rFonts w:cs="Arial"/>
          <w:color w:val="000000" w:themeColor="text1"/>
          <w:sz w:val="20"/>
          <w:szCs w:val="20"/>
        </w:rPr>
        <w:t>in G</w:t>
      </w:r>
      <w:r w:rsidR="00694E75">
        <w:rPr>
          <w:rFonts w:cs="Arial"/>
          <w:color w:val="000000" w:themeColor="text1"/>
          <w:sz w:val="20"/>
          <w:szCs w:val="20"/>
        </w:rPr>
        <w:t xml:space="preserve">lobal GDP context. </w:t>
      </w:r>
      <w:r w:rsidR="00284B91">
        <w:rPr>
          <w:rFonts w:cs="Arial"/>
          <w:color w:val="000000" w:themeColor="text1"/>
          <w:sz w:val="20"/>
          <w:szCs w:val="20"/>
        </w:rPr>
        <w:t xml:space="preserve"> </w:t>
      </w:r>
      <w:r w:rsidR="00694E75">
        <w:rPr>
          <w:rFonts w:cs="Arial"/>
          <w:color w:val="000000" w:themeColor="text1"/>
          <w:sz w:val="20"/>
          <w:szCs w:val="20"/>
        </w:rPr>
        <w:t>Asia share of GDP has risen from 31% in 2000</w:t>
      </w:r>
      <w:r w:rsidR="00781B12">
        <w:rPr>
          <w:rFonts w:cs="Arial"/>
          <w:color w:val="000000" w:themeColor="text1"/>
          <w:sz w:val="20"/>
          <w:szCs w:val="20"/>
        </w:rPr>
        <w:t xml:space="preserve"> to 45% in 2018,</w:t>
      </w:r>
      <w:r w:rsidR="00A16291">
        <w:rPr>
          <w:rFonts w:cs="Arial"/>
          <w:color w:val="000000" w:themeColor="text1"/>
          <w:sz w:val="20"/>
          <w:szCs w:val="20"/>
        </w:rPr>
        <w:t xml:space="preserve"> taking account of</w:t>
      </w:r>
      <w:r w:rsidR="00694E75">
        <w:rPr>
          <w:rFonts w:cs="Arial"/>
          <w:color w:val="000000" w:themeColor="text1"/>
          <w:sz w:val="20"/>
          <w:szCs w:val="20"/>
        </w:rPr>
        <w:t xml:space="preserve"> almost half of Global GDP</w:t>
      </w:r>
      <w:r w:rsidR="00A37932">
        <w:rPr>
          <w:rFonts w:cs="Arial"/>
          <w:color w:val="000000" w:themeColor="text1"/>
          <w:sz w:val="20"/>
          <w:szCs w:val="20"/>
        </w:rPr>
        <w:t>. This is</w:t>
      </w:r>
      <w:r w:rsidR="00A16291">
        <w:rPr>
          <w:rFonts w:cs="Arial"/>
          <w:color w:val="000000" w:themeColor="text1"/>
          <w:sz w:val="20"/>
          <w:szCs w:val="20"/>
        </w:rPr>
        <w:t xml:space="preserve"> a positive trend for Asia while </w:t>
      </w:r>
      <w:r w:rsidR="00A37932">
        <w:rPr>
          <w:rFonts w:cs="Arial"/>
          <w:color w:val="000000" w:themeColor="text1"/>
          <w:sz w:val="20"/>
          <w:szCs w:val="20"/>
        </w:rPr>
        <w:t xml:space="preserve">an opposite </w:t>
      </w:r>
      <w:r w:rsidR="00A16291">
        <w:rPr>
          <w:rFonts w:cs="Arial"/>
          <w:color w:val="000000" w:themeColor="text1"/>
          <w:sz w:val="20"/>
          <w:szCs w:val="20"/>
        </w:rPr>
        <w:t xml:space="preserve">trend </w:t>
      </w:r>
      <w:r w:rsidR="00A37932">
        <w:rPr>
          <w:rFonts w:cs="Arial"/>
          <w:color w:val="000000" w:themeColor="text1"/>
          <w:sz w:val="20"/>
          <w:szCs w:val="20"/>
        </w:rPr>
        <w:t>is</w:t>
      </w:r>
      <w:r w:rsidR="00A16291">
        <w:rPr>
          <w:rFonts w:cs="Arial"/>
          <w:color w:val="000000" w:themeColor="text1"/>
          <w:sz w:val="20"/>
          <w:szCs w:val="20"/>
        </w:rPr>
        <w:t xml:space="preserve"> observed in other regions</w:t>
      </w:r>
      <w:r w:rsidR="00694E75">
        <w:rPr>
          <w:rFonts w:cs="Arial"/>
          <w:color w:val="000000" w:themeColor="text1"/>
          <w:sz w:val="20"/>
          <w:szCs w:val="20"/>
        </w:rPr>
        <w:t>. US and China tr</w:t>
      </w:r>
      <w:r w:rsidR="002306F7">
        <w:rPr>
          <w:rFonts w:cs="Arial"/>
          <w:color w:val="000000" w:themeColor="text1"/>
          <w:sz w:val="20"/>
          <w:szCs w:val="20"/>
        </w:rPr>
        <w:t>ade tensions</w:t>
      </w:r>
      <w:r w:rsidR="009569FC">
        <w:rPr>
          <w:rFonts w:cs="Arial"/>
          <w:color w:val="000000" w:themeColor="text1"/>
          <w:sz w:val="20"/>
          <w:szCs w:val="20"/>
        </w:rPr>
        <w:t xml:space="preserve"> may</w:t>
      </w:r>
      <w:r w:rsidR="00467CD9">
        <w:rPr>
          <w:rFonts w:cs="Arial"/>
          <w:color w:val="000000" w:themeColor="text1"/>
          <w:sz w:val="20"/>
          <w:szCs w:val="20"/>
        </w:rPr>
        <w:t xml:space="preserve"> </w:t>
      </w:r>
      <w:r w:rsidR="00C03D5E">
        <w:rPr>
          <w:rFonts w:cs="Arial"/>
          <w:color w:val="000000" w:themeColor="text1"/>
          <w:sz w:val="20"/>
          <w:szCs w:val="20"/>
        </w:rPr>
        <w:t xml:space="preserve">impact </w:t>
      </w:r>
      <w:r w:rsidR="00CD5EB3">
        <w:rPr>
          <w:rFonts w:cs="Arial"/>
          <w:color w:val="000000" w:themeColor="text1"/>
          <w:sz w:val="20"/>
          <w:szCs w:val="20"/>
        </w:rPr>
        <w:t>global</w:t>
      </w:r>
      <w:r w:rsidR="00781B12">
        <w:rPr>
          <w:rFonts w:cs="Arial"/>
          <w:color w:val="000000" w:themeColor="text1"/>
          <w:sz w:val="20"/>
          <w:szCs w:val="20"/>
        </w:rPr>
        <w:t xml:space="preserve"> growth</w:t>
      </w:r>
      <w:r w:rsidR="00CD5EB3">
        <w:rPr>
          <w:rFonts w:cs="Arial"/>
          <w:color w:val="000000" w:themeColor="text1"/>
          <w:sz w:val="20"/>
          <w:szCs w:val="20"/>
        </w:rPr>
        <w:t xml:space="preserve"> especially Asia, nonetheless</w:t>
      </w:r>
      <w:r w:rsidR="00A37932">
        <w:rPr>
          <w:rFonts w:cs="Arial"/>
          <w:color w:val="000000" w:themeColor="text1"/>
          <w:sz w:val="20"/>
          <w:szCs w:val="20"/>
        </w:rPr>
        <w:t xml:space="preserve"> </w:t>
      </w:r>
      <w:r w:rsidR="00CD6F4E">
        <w:rPr>
          <w:rFonts w:cs="Arial"/>
          <w:color w:val="000000" w:themeColor="text1"/>
          <w:sz w:val="20"/>
          <w:szCs w:val="20"/>
        </w:rPr>
        <w:t>it is still projected to</w:t>
      </w:r>
      <w:r>
        <w:rPr>
          <w:rFonts w:cs="Arial"/>
          <w:color w:val="000000" w:themeColor="text1"/>
          <w:sz w:val="20"/>
          <w:szCs w:val="20"/>
        </w:rPr>
        <w:t xml:space="preserve"> be the fastest growing region globally. </w:t>
      </w:r>
    </w:p>
    <w:p w:rsidR="002306F7" w:rsidRPr="00900FFB" w:rsidRDefault="00052DE0" w:rsidP="002B0871">
      <w:pPr>
        <w:spacing w:after="60" w:line="280" w:lineRule="exact"/>
        <w:ind w:right="317"/>
        <w:jc w:val="both"/>
        <w:rPr>
          <w:rFonts w:cs="Arial"/>
          <w:color w:val="000000" w:themeColor="text1"/>
          <w:sz w:val="20"/>
          <w:szCs w:val="20"/>
        </w:rPr>
      </w:pPr>
      <w:r w:rsidRPr="00052DE0">
        <w:rPr>
          <w:rFonts w:cs="Arial"/>
          <w:noProof/>
          <w:color w:val="000000" w:themeColor="text1"/>
          <w:sz w:val="20"/>
          <w:szCs w:val="20"/>
          <w:lang w:val="en-US" w:eastAsia="zh-TW"/>
        </w:rPr>
        <mc:AlternateContent>
          <mc:Choice Requires="wps">
            <w:drawing>
              <wp:anchor distT="45720" distB="45720" distL="114300" distR="114300" simplePos="0" relativeHeight="251708928" behindDoc="0" locked="0" layoutInCell="1" allowOverlap="1">
                <wp:simplePos x="0" y="0"/>
                <wp:positionH relativeFrom="margin">
                  <wp:posOffset>130175</wp:posOffset>
                </wp:positionH>
                <wp:positionV relativeFrom="paragraph">
                  <wp:posOffset>504825</wp:posOffset>
                </wp:positionV>
                <wp:extent cx="304800" cy="1905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0500"/>
                        </a:xfrm>
                        <a:prstGeom prst="rect">
                          <a:avLst/>
                        </a:prstGeom>
                        <a:solidFill>
                          <a:srgbClr val="FFFFFF"/>
                        </a:solidFill>
                        <a:ln w="9525">
                          <a:noFill/>
                          <a:miter lim="800000"/>
                          <a:headEnd/>
                          <a:tailEnd/>
                        </a:ln>
                      </wps:spPr>
                      <wps:txbx>
                        <w:txbxContent>
                          <w:p w:rsidR="00052DE0" w:rsidRDefault="00052DE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0.25pt;margin-top:39.75pt;width:24pt;height:15pt;z-index:251708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" stroked="f">
                <v:textbox>
                  <w:txbxContent>
                    <w:p w:rsidR="00052DE0" w:rsidRDefault="00052DE0">
                      <w:r>
                        <w:t>%</w:t>
                      </w:r>
                    </w:p>
                  </w:txbxContent>
                </v:textbox>
                <w10:wrap type="square" anchorx="margin"/>
              </v:shape>
            </w:pict>
          </mc:Fallback>
        </mc:AlternateContent>
      </w:r>
      <w:r w:rsidR="002306F7">
        <w:rPr>
          <w:rFonts w:cs="Arial"/>
          <w:color w:val="000000" w:themeColor="text1"/>
          <w:sz w:val="20"/>
          <w:szCs w:val="20"/>
        </w:rPr>
        <w:t>Bloomberg survey estimat</w:t>
      </w:r>
      <w:r w:rsidR="00F17046">
        <w:rPr>
          <w:rFonts w:cs="Arial"/>
          <w:color w:val="000000" w:themeColor="text1"/>
          <w:sz w:val="20"/>
          <w:szCs w:val="20"/>
        </w:rPr>
        <w:t>es Asia growth to come in at 6.1</w:t>
      </w:r>
      <w:r w:rsidR="002306F7">
        <w:rPr>
          <w:rFonts w:cs="Arial"/>
          <w:color w:val="000000" w:themeColor="text1"/>
          <w:sz w:val="20"/>
          <w:szCs w:val="20"/>
        </w:rPr>
        <w:t>% i</w:t>
      </w:r>
      <w:r w:rsidR="00F17046">
        <w:rPr>
          <w:rFonts w:cs="Arial"/>
          <w:color w:val="000000" w:themeColor="text1"/>
          <w:sz w:val="20"/>
          <w:szCs w:val="20"/>
        </w:rPr>
        <w:t>n 2018, and moderating to 5.8</w:t>
      </w:r>
      <w:r w:rsidR="00781B12">
        <w:rPr>
          <w:rFonts w:cs="Arial"/>
          <w:color w:val="000000" w:themeColor="text1"/>
          <w:sz w:val="20"/>
          <w:szCs w:val="20"/>
        </w:rPr>
        <w:t xml:space="preserve">% in 2019. </w:t>
      </w:r>
    </w:p>
    <w:p w:rsidR="00FA515D" w:rsidRPr="00900FFB" w:rsidRDefault="00F13700" w:rsidP="007F54C7">
      <w:pPr>
        <w:tabs>
          <w:tab w:val="left" w:pos="4395"/>
        </w:tabs>
        <w:rPr>
          <w:rFonts w:cs="Arial"/>
          <w:bCs/>
          <w:color w:val="000000" w:themeColor="text1"/>
          <w:kern w:val="32"/>
          <w:sz w:val="22"/>
        </w:rPr>
      </w:pPr>
      <w:r w:rsidRPr="00F13700">
        <w:rPr>
          <w:noProof/>
          <w:lang w:val="en-US" w:eastAsia="zh-TW"/>
        </w:rPr>
        <w:drawing>
          <wp:inline distT="0" distB="0" distL="0" distR="0">
            <wp:extent cx="6694170" cy="235521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4170" cy="2355215"/>
                    </a:xfrm>
                    <a:prstGeom prst="rect">
                      <a:avLst/>
                    </a:prstGeom>
                    <a:noFill/>
                    <a:ln>
                      <a:noFill/>
                    </a:ln>
                  </pic:spPr>
                </pic:pic>
              </a:graphicData>
            </a:graphic>
          </wp:inline>
        </w:drawing>
      </w:r>
      <w:r w:rsidR="00FA515D" w:rsidRPr="00900FFB">
        <w:rPr>
          <w:rFonts w:cs="Arial"/>
          <w:bCs/>
          <w:color w:val="000000" w:themeColor="text1"/>
          <w:kern w:val="32"/>
          <w:sz w:val="22"/>
        </w:rPr>
        <w:tab/>
      </w:r>
    </w:p>
    <w:p w:rsidR="00167CDC" w:rsidRPr="00900FFB" w:rsidRDefault="00C1183D" w:rsidP="000574BE">
      <w:pPr>
        <w:spacing w:after="120" w:line="288" w:lineRule="auto"/>
        <w:rPr>
          <w:rFonts w:cs="Arial"/>
          <w:bCs/>
          <w:color w:val="000000" w:themeColor="text1"/>
          <w:kern w:val="32"/>
          <w:sz w:val="16"/>
          <w:szCs w:val="16"/>
        </w:rPr>
      </w:pPr>
      <w:r w:rsidRPr="00900FFB">
        <w:rPr>
          <w:rFonts w:cs="Arial"/>
          <w:bCs/>
          <w:color w:val="000000" w:themeColor="text1"/>
          <w:kern w:val="32"/>
          <w:sz w:val="16"/>
          <w:szCs w:val="16"/>
        </w:rPr>
        <w:t xml:space="preserve">Source:  </w:t>
      </w:r>
      <w:r w:rsidR="008240C7">
        <w:rPr>
          <w:rFonts w:cs="Arial"/>
          <w:bCs/>
          <w:color w:val="000000" w:themeColor="text1"/>
          <w:kern w:val="32"/>
          <w:sz w:val="16"/>
          <w:szCs w:val="16"/>
        </w:rPr>
        <w:t xml:space="preserve">Bloomberg as of </w:t>
      </w:r>
      <w:r w:rsidR="002306F7">
        <w:rPr>
          <w:rFonts w:cs="Arial"/>
          <w:bCs/>
          <w:color w:val="000000" w:themeColor="text1"/>
          <w:kern w:val="32"/>
          <w:sz w:val="16"/>
          <w:szCs w:val="16"/>
        </w:rPr>
        <w:t xml:space="preserve">31 October 2018. </w:t>
      </w:r>
    </w:p>
    <w:p w:rsidR="00CA72EA" w:rsidRDefault="00FA515D" w:rsidP="002B0871">
      <w:pPr>
        <w:spacing w:after="60" w:line="280" w:lineRule="exact"/>
        <w:ind w:right="317"/>
        <w:jc w:val="both"/>
        <w:rPr>
          <w:rFonts w:cs="Arial"/>
          <w:color w:val="000000" w:themeColor="text1"/>
          <w:sz w:val="20"/>
          <w:szCs w:val="20"/>
        </w:rPr>
      </w:pPr>
      <w:r w:rsidRPr="00900FFB">
        <w:rPr>
          <w:rFonts w:cs="Arial"/>
          <w:color w:val="000000" w:themeColor="text1"/>
          <w:sz w:val="20"/>
          <w:szCs w:val="20"/>
        </w:rPr>
        <w:t xml:space="preserve">Along with this projected economic growth, GDP per </w:t>
      </w:r>
      <w:proofErr w:type="spellStart"/>
      <w:r w:rsidRPr="00900FFB">
        <w:rPr>
          <w:rFonts w:cs="Arial"/>
          <w:color w:val="000000" w:themeColor="text1"/>
          <w:sz w:val="20"/>
          <w:szCs w:val="20"/>
        </w:rPr>
        <w:t>capita’s</w:t>
      </w:r>
      <w:proofErr w:type="spellEnd"/>
      <w:r w:rsidRPr="00900FFB">
        <w:rPr>
          <w:rFonts w:cs="Arial"/>
          <w:color w:val="000000" w:themeColor="text1"/>
          <w:sz w:val="20"/>
          <w:szCs w:val="20"/>
        </w:rPr>
        <w:t xml:space="preserve"> are projected to rise significantly, supporting the development of a middle class in Asia that is significant in terms of population.  </w:t>
      </w:r>
    </w:p>
    <w:p w:rsidR="002D54E2" w:rsidRPr="00900FFB" w:rsidRDefault="002D54E2" w:rsidP="002B0871">
      <w:pPr>
        <w:spacing w:after="60" w:line="280" w:lineRule="exact"/>
        <w:ind w:right="317"/>
        <w:jc w:val="both"/>
        <w:rPr>
          <w:rFonts w:cs="Arial"/>
          <w:color w:val="000000" w:themeColor="text1"/>
          <w:sz w:val="20"/>
          <w:szCs w:val="20"/>
        </w:rPr>
      </w:pPr>
    </w:p>
    <w:p w:rsidR="00AD1267" w:rsidRDefault="00BE4465" w:rsidP="00396203">
      <w:pPr>
        <w:spacing w:after="120" w:line="288" w:lineRule="auto"/>
        <w:ind w:right="323"/>
        <w:rPr>
          <w:rFonts w:cs="Arial"/>
          <w:b/>
          <w:color w:val="000000" w:themeColor="text1"/>
          <w:sz w:val="20"/>
          <w:szCs w:val="20"/>
        </w:rPr>
      </w:pPr>
      <w:r w:rsidRPr="002D54E2">
        <w:rPr>
          <w:noProof/>
          <w:lang w:val="en-US" w:eastAsia="zh-TW"/>
        </w:rPr>
        <w:drawing>
          <wp:anchor distT="0" distB="0" distL="114300" distR="114300" simplePos="0" relativeHeight="251703808" behindDoc="0" locked="0" layoutInCell="1" allowOverlap="1">
            <wp:simplePos x="0" y="0"/>
            <wp:positionH relativeFrom="margin">
              <wp:align>left</wp:align>
            </wp:positionH>
            <wp:positionV relativeFrom="paragraph">
              <wp:posOffset>197808</wp:posOffset>
            </wp:positionV>
            <wp:extent cx="6677025" cy="2303145"/>
            <wp:effectExtent l="0" t="0" r="9525"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7025" cy="230314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15D" w:rsidRPr="00900FFB">
        <w:rPr>
          <w:rFonts w:cs="Arial"/>
          <w:b/>
          <w:color w:val="000000" w:themeColor="text1"/>
          <w:sz w:val="20"/>
          <w:szCs w:val="20"/>
        </w:rPr>
        <w:t xml:space="preserve">Outlook for </w:t>
      </w:r>
      <w:r w:rsidR="000D5B73" w:rsidRPr="00900FFB">
        <w:rPr>
          <w:rFonts w:cs="Arial"/>
          <w:b/>
          <w:color w:val="000000" w:themeColor="text1"/>
          <w:sz w:val="20"/>
          <w:szCs w:val="20"/>
        </w:rPr>
        <w:t>Demographics</w:t>
      </w:r>
      <w:r w:rsidR="00FA515D" w:rsidRPr="00900FFB">
        <w:rPr>
          <w:rFonts w:cs="Arial"/>
          <w:b/>
          <w:color w:val="000000" w:themeColor="text1"/>
          <w:sz w:val="20"/>
          <w:szCs w:val="20"/>
        </w:rPr>
        <w:t xml:space="preserve"> in Asia and Potential Implications for Pension demand</w:t>
      </w:r>
    </w:p>
    <w:p w:rsidR="00BE4465" w:rsidRDefault="00BE4465" w:rsidP="00BE4465">
      <w:pPr>
        <w:spacing w:after="120" w:line="288" w:lineRule="auto"/>
        <w:ind w:right="323"/>
        <w:rPr>
          <w:rFonts w:cs="Arial"/>
          <w:bCs/>
          <w:color w:val="000000" w:themeColor="text1"/>
          <w:kern w:val="32"/>
          <w:sz w:val="16"/>
          <w:szCs w:val="16"/>
        </w:rPr>
      </w:pPr>
      <w:r w:rsidRPr="00900FFB">
        <w:rPr>
          <w:rFonts w:cs="Arial"/>
          <w:bCs/>
          <w:color w:val="000000" w:themeColor="text1"/>
          <w:kern w:val="32"/>
          <w:sz w:val="16"/>
          <w:szCs w:val="16"/>
        </w:rPr>
        <w:lastRenderedPageBreak/>
        <w:t>Source:</w:t>
      </w:r>
      <w:r>
        <w:rPr>
          <w:rFonts w:cs="Arial"/>
          <w:bCs/>
          <w:color w:val="000000" w:themeColor="text1"/>
          <w:kern w:val="32"/>
          <w:sz w:val="16"/>
          <w:szCs w:val="16"/>
        </w:rPr>
        <w:t xml:space="preserve"> </w:t>
      </w:r>
      <w:r w:rsidRPr="00900FFB">
        <w:rPr>
          <w:rFonts w:cs="Arial"/>
          <w:bCs/>
          <w:color w:val="000000" w:themeColor="text1"/>
          <w:kern w:val="32"/>
          <w:sz w:val="16"/>
          <w:szCs w:val="16"/>
        </w:rPr>
        <w:t>Bottom graph ICI Global and US Census “Globalisation and the Global Growth of LT Mutual Funds</w:t>
      </w:r>
      <w:r>
        <w:rPr>
          <w:rFonts w:cs="Arial"/>
          <w:bCs/>
          <w:color w:val="000000" w:themeColor="text1"/>
          <w:kern w:val="32"/>
          <w:sz w:val="16"/>
          <w:szCs w:val="16"/>
        </w:rPr>
        <w:t>”</w:t>
      </w:r>
      <w:r w:rsidRPr="00900FFB">
        <w:rPr>
          <w:rFonts w:cs="Arial"/>
          <w:bCs/>
          <w:color w:val="000000" w:themeColor="text1"/>
          <w:kern w:val="32"/>
          <w:sz w:val="16"/>
          <w:szCs w:val="16"/>
        </w:rPr>
        <w:t xml:space="preserve"> as at </w:t>
      </w:r>
      <w:r>
        <w:rPr>
          <w:rFonts w:cs="Arial"/>
          <w:bCs/>
          <w:color w:val="000000" w:themeColor="text1"/>
          <w:kern w:val="32"/>
          <w:sz w:val="16"/>
          <w:szCs w:val="16"/>
        </w:rPr>
        <w:t>March 2014</w:t>
      </w:r>
    </w:p>
    <w:p w:rsidR="00BE4465" w:rsidRPr="00396203" w:rsidRDefault="00BE4465" w:rsidP="00396203">
      <w:pPr>
        <w:spacing w:after="120" w:line="288" w:lineRule="auto"/>
        <w:ind w:right="323"/>
        <w:rPr>
          <w:rFonts w:cs="Arial"/>
          <w:bCs/>
          <w:color w:val="000000" w:themeColor="text1"/>
          <w:kern w:val="32"/>
          <w:sz w:val="16"/>
          <w:szCs w:val="16"/>
        </w:rPr>
      </w:pPr>
    </w:p>
    <w:p w:rsidR="00CA72EA" w:rsidRPr="00900FFB" w:rsidRDefault="005C6693" w:rsidP="002B0871">
      <w:pPr>
        <w:spacing w:after="60" w:line="280" w:lineRule="exact"/>
        <w:rPr>
          <w:rFonts w:cs="Arial"/>
          <w:color w:val="000000" w:themeColor="text1"/>
          <w:sz w:val="20"/>
          <w:szCs w:val="20"/>
          <w:u w:val="single"/>
        </w:rPr>
      </w:pPr>
      <w:r w:rsidRPr="00900FFB">
        <w:rPr>
          <w:rFonts w:cs="Arial"/>
          <w:noProof/>
          <w:lang w:val="en-US" w:eastAsia="zh-TW"/>
        </w:rPr>
        <w:drawing>
          <wp:anchor distT="0" distB="0" distL="114300" distR="114300" simplePos="0" relativeHeight="251688448" behindDoc="1" locked="0" layoutInCell="1" allowOverlap="1" wp14:anchorId="4E9294EC" wp14:editId="6867F1AE">
            <wp:simplePos x="0" y="0"/>
            <wp:positionH relativeFrom="column">
              <wp:posOffset>3940810</wp:posOffset>
            </wp:positionH>
            <wp:positionV relativeFrom="paragraph">
              <wp:posOffset>25400</wp:posOffset>
            </wp:positionV>
            <wp:extent cx="2553335" cy="2623820"/>
            <wp:effectExtent l="0" t="0" r="0" b="5080"/>
            <wp:wrapTight wrapText="bothSides">
              <wp:wrapPolygon edited="0">
                <wp:start x="0" y="0"/>
                <wp:lineTo x="0" y="21485"/>
                <wp:lineTo x="21433" y="21485"/>
                <wp:lineTo x="21433" y="0"/>
                <wp:lineTo x="0" y="0"/>
              </wp:wrapPolygon>
            </wp:wrapTight>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553335" cy="2623820"/>
                    </a:xfrm>
                    <a:prstGeom prst="rect">
                      <a:avLst/>
                    </a:prstGeom>
                  </pic:spPr>
                </pic:pic>
              </a:graphicData>
            </a:graphic>
            <wp14:sizeRelH relativeFrom="page">
              <wp14:pctWidth>0</wp14:pctWidth>
            </wp14:sizeRelH>
            <wp14:sizeRelV relativeFrom="page">
              <wp14:pctHeight>0</wp14:pctHeight>
            </wp14:sizeRelV>
          </wp:anchor>
        </w:drawing>
      </w:r>
      <w:r w:rsidR="00CA72EA" w:rsidRPr="00900FFB">
        <w:rPr>
          <w:rFonts w:cs="Arial"/>
          <w:color w:val="000000" w:themeColor="text1"/>
          <w:sz w:val="20"/>
          <w:szCs w:val="20"/>
          <w:u w:val="single"/>
        </w:rPr>
        <w:t xml:space="preserve">Number of Retirees per 100 workers                  </w:t>
      </w:r>
    </w:p>
    <w:p w:rsidR="00CA72EA" w:rsidRPr="00900FFB" w:rsidRDefault="00CA72EA" w:rsidP="002B0871">
      <w:pPr>
        <w:pStyle w:val="ListParagraph"/>
        <w:numPr>
          <w:ilvl w:val="0"/>
          <w:numId w:val="25"/>
        </w:numPr>
        <w:spacing w:after="60" w:line="280" w:lineRule="exact"/>
        <w:ind w:left="322" w:right="323" w:hanging="308"/>
        <w:rPr>
          <w:rFonts w:cs="Arial"/>
          <w:color w:val="000000" w:themeColor="text1"/>
          <w:sz w:val="20"/>
          <w:szCs w:val="20"/>
        </w:rPr>
      </w:pPr>
      <w:r w:rsidRPr="00900FFB">
        <w:rPr>
          <w:rFonts w:cs="Arial"/>
          <w:color w:val="000000" w:themeColor="text1"/>
          <w:sz w:val="20"/>
          <w:szCs w:val="20"/>
        </w:rPr>
        <w:t xml:space="preserve">Many of Asia’s retirement systems are ill prepared for the rapid population ageing  </w:t>
      </w:r>
    </w:p>
    <w:p w:rsidR="00CA72EA" w:rsidRPr="00900FFB" w:rsidRDefault="00CA72EA" w:rsidP="002B0871">
      <w:pPr>
        <w:pStyle w:val="ListParagraph"/>
        <w:numPr>
          <w:ilvl w:val="0"/>
          <w:numId w:val="25"/>
        </w:numPr>
        <w:spacing w:after="60" w:line="280" w:lineRule="exact"/>
        <w:ind w:left="322" w:right="323" w:hanging="308"/>
        <w:rPr>
          <w:rFonts w:cs="Arial"/>
          <w:color w:val="000000" w:themeColor="text1"/>
          <w:sz w:val="20"/>
          <w:szCs w:val="20"/>
        </w:rPr>
      </w:pPr>
      <w:r w:rsidRPr="00900FFB">
        <w:rPr>
          <w:rFonts w:cs="Arial"/>
          <w:color w:val="000000" w:themeColor="text1"/>
          <w:sz w:val="20"/>
          <w:szCs w:val="20"/>
        </w:rPr>
        <w:t xml:space="preserve">The demographic change to fewer babies and longer life expectancy took a century in Europe and North America  </w:t>
      </w:r>
    </w:p>
    <w:p w:rsidR="00CA72EA" w:rsidRPr="00900FFB" w:rsidRDefault="00CA72EA" w:rsidP="002B0871">
      <w:pPr>
        <w:pStyle w:val="ListParagraph"/>
        <w:numPr>
          <w:ilvl w:val="0"/>
          <w:numId w:val="25"/>
        </w:numPr>
        <w:spacing w:after="60" w:line="280" w:lineRule="exact"/>
        <w:ind w:left="322" w:right="323" w:hanging="308"/>
        <w:rPr>
          <w:rFonts w:cs="Arial"/>
          <w:color w:val="000000" w:themeColor="text1"/>
          <w:sz w:val="20"/>
          <w:szCs w:val="20"/>
        </w:rPr>
      </w:pPr>
      <w:r w:rsidRPr="00900FFB">
        <w:rPr>
          <w:rFonts w:cs="Arial"/>
          <w:color w:val="000000" w:themeColor="text1"/>
          <w:sz w:val="20"/>
          <w:szCs w:val="20"/>
        </w:rPr>
        <w:t xml:space="preserve">In Asia this transition is happening in a generation.   Asia’s ageing will be at its peak between 2010 and 2030 according to the OECD </w:t>
      </w:r>
    </w:p>
    <w:p w:rsidR="00CA72EA" w:rsidRPr="00900FFB" w:rsidRDefault="00CA72EA" w:rsidP="002B0871">
      <w:pPr>
        <w:pStyle w:val="ListParagraph"/>
        <w:numPr>
          <w:ilvl w:val="0"/>
          <w:numId w:val="25"/>
        </w:numPr>
        <w:spacing w:after="60" w:line="280" w:lineRule="exact"/>
        <w:ind w:left="322" w:right="323" w:hanging="308"/>
        <w:rPr>
          <w:rFonts w:cs="Arial"/>
          <w:color w:val="000000" w:themeColor="text1"/>
          <w:sz w:val="20"/>
          <w:szCs w:val="20"/>
        </w:rPr>
      </w:pPr>
      <w:r w:rsidRPr="00900FFB">
        <w:rPr>
          <w:rFonts w:cs="Arial"/>
          <w:color w:val="000000" w:themeColor="text1"/>
          <w:sz w:val="20"/>
          <w:szCs w:val="20"/>
        </w:rPr>
        <w:t xml:space="preserve">Compared to OECD averages the percentage of those who contribute to pensions is low  </w:t>
      </w:r>
    </w:p>
    <w:p w:rsidR="00CA72EA" w:rsidRPr="00900FFB" w:rsidRDefault="00CA72EA" w:rsidP="002B0871">
      <w:pPr>
        <w:pStyle w:val="ListParagraph"/>
        <w:numPr>
          <w:ilvl w:val="0"/>
          <w:numId w:val="25"/>
        </w:numPr>
        <w:spacing w:after="60" w:line="280" w:lineRule="exact"/>
        <w:ind w:left="322" w:right="323" w:hanging="308"/>
        <w:rPr>
          <w:rFonts w:cs="Arial"/>
          <w:color w:val="000000" w:themeColor="text1"/>
          <w:sz w:val="20"/>
          <w:szCs w:val="20"/>
        </w:rPr>
      </w:pPr>
      <w:r w:rsidRPr="00900FFB">
        <w:rPr>
          <w:rFonts w:cs="Arial"/>
          <w:color w:val="000000" w:themeColor="text1"/>
          <w:sz w:val="20"/>
          <w:szCs w:val="20"/>
        </w:rPr>
        <w:t xml:space="preserve">Pension reforms are on the agenda of Asian countries. Models in Singapore and Hong Kong are often used as guides  </w:t>
      </w:r>
    </w:p>
    <w:p w:rsidR="00CA72EA" w:rsidRPr="00900FFB" w:rsidRDefault="00CA72EA" w:rsidP="002B0871">
      <w:pPr>
        <w:pStyle w:val="ListParagraph"/>
        <w:numPr>
          <w:ilvl w:val="0"/>
          <w:numId w:val="25"/>
        </w:numPr>
        <w:spacing w:after="60" w:line="280" w:lineRule="exact"/>
        <w:ind w:left="322" w:right="323" w:hanging="308"/>
        <w:rPr>
          <w:rFonts w:cs="Arial"/>
          <w:color w:val="000000" w:themeColor="text1"/>
          <w:sz w:val="20"/>
          <w:szCs w:val="20"/>
        </w:rPr>
      </w:pPr>
      <w:r w:rsidRPr="00900FFB">
        <w:rPr>
          <w:rFonts w:cs="Arial"/>
          <w:color w:val="000000" w:themeColor="text1"/>
          <w:sz w:val="20"/>
          <w:szCs w:val="20"/>
        </w:rPr>
        <w:t xml:space="preserve">A broader agenda exists now in recognition of the benefits a domestic pension system brings to the stability of demand for domestic bond markets </w:t>
      </w:r>
    </w:p>
    <w:p w:rsidR="002E14BE" w:rsidRDefault="002E14BE" w:rsidP="002B0871">
      <w:pPr>
        <w:spacing w:after="60" w:line="280" w:lineRule="exact"/>
        <w:ind w:right="317"/>
        <w:jc w:val="both"/>
        <w:rPr>
          <w:rFonts w:cs="Arial"/>
          <w:b/>
          <w:color w:val="000000" w:themeColor="text1"/>
          <w:sz w:val="20"/>
          <w:szCs w:val="20"/>
        </w:rPr>
      </w:pPr>
    </w:p>
    <w:p w:rsidR="000D5B73" w:rsidRPr="00900FFB" w:rsidRDefault="00D5701A" w:rsidP="002B0871">
      <w:pPr>
        <w:spacing w:after="60" w:line="280" w:lineRule="exact"/>
        <w:ind w:right="317"/>
        <w:jc w:val="both"/>
        <w:rPr>
          <w:rFonts w:cs="Arial"/>
          <w:b/>
          <w:color w:val="000000" w:themeColor="text1"/>
          <w:sz w:val="20"/>
          <w:szCs w:val="20"/>
        </w:rPr>
      </w:pPr>
      <w:r w:rsidRPr="00900FFB">
        <w:rPr>
          <w:rFonts w:cs="Arial"/>
          <w:b/>
          <w:color w:val="000000" w:themeColor="text1"/>
          <w:sz w:val="20"/>
          <w:szCs w:val="20"/>
        </w:rPr>
        <w:t xml:space="preserve">Outlook for the </w:t>
      </w:r>
      <w:r w:rsidR="000D5B73" w:rsidRPr="00900FFB">
        <w:rPr>
          <w:rFonts w:cs="Arial"/>
          <w:b/>
          <w:color w:val="000000" w:themeColor="text1"/>
          <w:sz w:val="20"/>
          <w:szCs w:val="20"/>
        </w:rPr>
        <w:t xml:space="preserve">Development of </w:t>
      </w:r>
      <w:r w:rsidRPr="00900FFB">
        <w:rPr>
          <w:rFonts w:cs="Arial"/>
          <w:b/>
          <w:color w:val="000000" w:themeColor="text1"/>
          <w:sz w:val="20"/>
          <w:szCs w:val="20"/>
        </w:rPr>
        <w:t>P</w:t>
      </w:r>
      <w:r w:rsidR="000D5B73" w:rsidRPr="00900FFB">
        <w:rPr>
          <w:rFonts w:cs="Arial"/>
          <w:b/>
          <w:color w:val="000000" w:themeColor="text1"/>
          <w:sz w:val="20"/>
          <w:szCs w:val="20"/>
        </w:rPr>
        <w:t xml:space="preserve">ensions </w:t>
      </w:r>
      <w:r w:rsidRPr="00900FFB">
        <w:rPr>
          <w:rFonts w:cs="Arial"/>
          <w:b/>
          <w:color w:val="000000" w:themeColor="text1"/>
          <w:sz w:val="20"/>
          <w:szCs w:val="20"/>
        </w:rPr>
        <w:t>I</w:t>
      </w:r>
      <w:r w:rsidR="000D5B73" w:rsidRPr="00900FFB">
        <w:rPr>
          <w:rFonts w:cs="Arial"/>
          <w:b/>
          <w:color w:val="000000" w:themeColor="text1"/>
          <w:sz w:val="20"/>
          <w:szCs w:val="20"/>
        </w:rPr>
        <w:t>ndustry</w:t>
      </w:r>
      <w:r w:rsidRPr="00900FFB">
        <w:rPr>
          <w:rFonts w:cs="Arial"/>
          <w:b/>
          <w:color w:val="000000" w:themeColor="text1"/>
          <w:sz w:val="20"/>
          <w:szCs w:val="20"/>
        </w:rPr>
        <w:t xml:space="preserve"> in Asia</w:t>
      </w:r>
    </w:p>
    <w:p w:rsidR="00D51DC1" w:rsidRDefault="00D5701A" w:rsidP="002B0871">
      <w:pPr>
        <w:spacing w:after="60" w:line="280" w:lineRule="exact"/>
        <w:ind w:right="317"/>
        <w:jc w:val="both"/>
        <w:rPr>
          <w:rFonts w:cs="Arial"/>
          <w:color w:val="000000" w:themeColor="text1"/>
          <w:sz w:val="20"/>
          <w:szCs w:val="20"/>
        </w:rPr>
      </w:pPr>
      <w:r w:rsidRPr="00900FFB">
        <w:rPr>
          <w:rFonts w:cs="Arial"/>
          <w:color w:val="000000" w:themeColor="text1"/>
          <w:sz w:val="20"/>
          <w:szCs w:val="20"/>
        </w:rPr>
        <w:t>The</w:t>
      </w:r>
      <w:r w:rsidR="00D51DC1" w:rsidRPr="00900FFB">
        <w:rPr>
          <w:rFonts w:cs="Arial"/>
          <w:color w:val="000000" w:themeColor="text1"/>
          <w:sz w:val="20"/>
          <w:szCs w:val="20"/>
        </w:rPr>
        <w:t xml:space="preserve"> Hong Kong and Singapore’s Pension systems are the most developed in the region.  Using their growth as a guide for potential growth </w:t>
      </w:r>
      <w:r w:rsidR="00EA326B" w:rsidRPr="00900FFB">
        <w:rPr>
          <w:rFonts w:cs="Arial"/>
          <w:color w:val="000000" w:themeColor="text1"/>
          <w:sz w:val="20"/>
          <w:szCs w:val="20"/>
        </w:rPr>
        <w:t>of new</w:t>
      </w:r>
      <w:r w:rsidR="00BD246B" w:rsidRPr="00900FFB">
        <w:rPr>
          <w:rFonts w:cs="Arial"/>
          <w:color w:val="000000" w:themeColor="text1"/>
          <w:sz w:val="20"/>
          <w:szCs w:val="20"/>
        </w:rPr>
        <w:t xml:space="preserve"> pension systems,</w:t>
      </w:r>
      <w:r w:rsidR="00D51DC1" w:rsidRPr="00900FFB">
        <w:rPr>
          <w:rFonts w:cs="Arial"/>
          <w:color w:val="000000" w:themeColor="text1"/>
          <w:sz w:val="20"/>
          <w:szCs w:val="20"/>
        </w:rPr>
        <w:t xml:space="preserve"> a rapid development of pensions across the region present</w:t>
      </w:r>
      <w:r w:rsidR="00BD246B" w:rsidRPr="00900FFB">
        <w:rPr>
          <w:rFonts w:cs="Arial"/>
          <w:color w:val="000000" w:themeColor="text1"/>
          <w:sz w:val="20"/>
          <w:szCs w:val="20"/>
        </w:rPr>
        <w:t>s</w:t>
      </w:r>
      <w:r w:rsidR="00D51DC1" w:rsidRPr="00900FFB">
        <w:rPr>
          <w:rFonts w:cs="Arial"/>
          <w:color w:val="000000" w:themeColor="text1"/>
          <w:sz w:val="20"/>
          <w:szCs w:val="20"/>
        </w:rPr>
        <w:t xml:space="preserve"> </w:t>
      </w:r>
      <w:r w:rsidR="00BD246B" w:rsidRPr="00900FFB">
        <w:rPr>
          <w:rFonts w:cs="Arial"/>
          <w:color w:val="000000" w:themeColor="text1"/>
          <w:sz w:val="20"/>
          <w:szCs w:val="20"/>
        </w:rPr>
        <w:t xml:space="preserve">significant </w:t>
      </w:r>
      <w:r w:rsidR="00D51DC1" w:rsidRPr="00900FFB">
        <w:rPr>
          <w:rFonts w:cs="Arial"/>
          <w:color w:val="000000" w:themeColor="text1"/>
          <w:sz w:val="20"/>
          <w:szCs w:val="20"/>
        </w:rPr>
        <w:t>opportunity</w:t>
      </w:r>
      <w:r w:rsidR="00D23C8A">
        <w:rPr>
          <w:rFonts w:cs="Arial"/>
          <w:color w:val="000000" w:themeColor="text1"/>
          <w:sz w:val="20"/>
          <w:szCs w:val="20"/>
        </w:rPr>
        <w:t xml:space="preserve">. </w:t>
      </w:r>
    </w:p>
    <w:p w:rsidR="00D23C8A" w:rsidRPr="00900FFB" w:rsidRDefault="00D23C8A" w:rsidP="002B0871">
      <w:pPr>
        <w:spacing w:after="60" w:line="280" w:lineRule="exact"/>
        <w:ind w:right="317"/>
        <w:jc w:val="both"/>
        <w:rPr>
          <w:rFonts w:cs="Arial"/>
          <w:color w:val="000000" w:themeColor="text1"/>
          <w:sz w:val="20"/>
          <w:szCs w:val="20"/>
        </w:rPr>
      </w:pPr>
    </w:p>
    <w:p w:rsidR="00D51DC1" w:rsidRPr="00900FFB" w:rsidRDefault="00D51DC1" w:rsidP="002B0871">
      <w:pPr>
        <w:pStyle w:val="ListParagraph"/>
        <w:numPr>
          <w:ilvl w:val="0"/>
          <w:numId w:val="26"/>
        </w:numPr>
        <w:spacing w:after="60" w:line="280" w:lineRule="exact"/>
        <w:ind w:right="317"/>
        <w:jc w:val="both"/>
        <w:rPr>
          <w:rFonts w:cs="Arial"/>
          <w:color w:val="000000" w:themeColor="text1"/>
          <w:sz w:val="20"/>
          <w:szCs w:val="20"/>
        </w:rPr>
      </w:pPr>
      <w:r w:rsidRPr="00900FFB">
        <w:rPr>
          <w:rFonts w:cs="Arial"/>
          <w:color w:val="000000" w:themeColor="text1"/>
          <w:sz w:val="20"/>
          <w:szCs w:val="20"/>
        </w:rPr>
        <w:t xml:space="preserve">HK’s MPF – today </w:t>
      </w:r>
      <w:r w:rsidR="00943ED2" w:rsidRPr="00900FFB">
        <w:rPr>
          <w:rFonts w:cs="Arial"/>
          <w:color w:val="000000" w:themeColor="text1"/>
          <w:sz w:val="20"/>
          <w:szCs w:val="20"/>
        </w:rPr>
        <w:t xml:space="preserve"> approximately </w:t>
      </w:r>
      <w:r w:rsidRPr="00900FFB">
        <w:rPr>
          <w:rFonts w:cs="Arial"/>
          <w:color w:val="000000" w:themeColor="text1"/>
          <w:sz w:val="20"/>
          <w:szCs w:val="20"/>
        </w:rPr>
        <w:t>US$80bn – actuarial Society of H</w:t>
      </w:r>
      <w:r w:rsidR="00D5701A" w:rsidRPr="00900FFB">
        <w:rPr>
          <w:rFonts w:cs="Arial"/>
          <w:color w:val="000000" w:themeColor="text1"/>
          <w:sz w:val="20"/>
          <w:szCs w:val="20"/>
        </w:rPr>
        <w:t xml:space="preserve">ong </w:t>
      </w:r>
      <w:r w:rsidRPr="00900FFB">
        <w:rPr>
          <w:rFonts w:cs="Arial"/>
          <w:color w:val="000000" w:themeColor="text1"/>
          <w:sz w:val="20"/>
          <w:szCs w:val="20"/>
        </w:rPr>
        <w:t>K</w:t>
      </w:r>
      <w:r w:rsidR="00D5701A" w:rsidRPr="00900FFB">
        <w:rPr>
          <w:rFonts w:cs="Arial"/>
          <w:color w:val="000000" w:themeColor="text1"/>
          <w:sz w:val="20"/>
          <w:szCs w:val="20"/>
        </w:rPr>
        <w:t>ong</w:t>
      </w:r>
      <w:r w:rsidRPr="00900FFB">
        <w:rPr>
          <w:rFonts w:cs="Arial"/>
          <w:color w:val="000000" w:themeColor="text1"/>
          <w:sz w:val="20"/>
          <w:szCs w:val="20"/>
        </w:rPr>
        <w:t xml:space="preserve"> paper 2015 predict this to be US$335bn - US$413bn by 2035</w:t>
      </w:r>
      <w:r w:rsidR="00943ED2" w:rsidRPr="00900FFB">
        <w:rPr>
          <w:rFonts w:cs="Arial"/>
          <w:color w:val="000000" w:themeColor="text1"/>
          <w:sz w:val="20"/>
          <w:szCs w:val="20"/>
        </w:rPr>
        <w:t xml:space="preserve"> (over 300% growth)</w:t>
      </w:r>
    </w:p>
    <w:p w:rsidR="00D51DC1" w:rsidRPr="00D23C8A" w:rsidRDefault="00D51DC1" w:rsidP="002B0871">
      <w:pPr>
        <w:pStyle w:val="ListParagraph"/>
        <w:numPr>
          <w:ilvl w:val="0"/>
          <w:numId w:val="26"/>
        </w:numPr>
        <w:spacing w:after="60" w:line="280" w:lineRule="exact"/>
        <w:ind w:right="317"/>
        <w:jc w:val="both"/>
        <w:rPr>
          <w:rFonts w:cs="Arial"/>
          <w:sz w:val="20"/>
          <w:szCs w:val="20"/>
        </w:rPr>
      </w:pPr>
      <w:r w:rsidRPr="00900FFB">
        <w:rPr>
          <w:rFonts w:cs="Arial"/>
          <w:color w:val="000000" w:themeColor="text1"/>
          <w:sz w:val="20"/>
          <w:szCs w:val="20"/>
        </w:rPr>
        <w:t xml:space="preserve">SG’s CPF – today US$195bn – last 15 years has averaged </w:t>
      </w:r>
      <w:r w:rsidR="00D5701A" w:rsidRPr="00900FFB">
        <w:rPr>
          <w:rFonts w:cs="Arial"/>
          <w:color w:val="000000" w:themeColor="text1"/>
          <w:sz w:val="20"/>
          <w:szCs w:val="20"/>
        </w:rPr>
        <w:t xml:space="preserve">a growth in size of </w:t>
      </w:r>
      <w:r w:rsidRPr="00900FFB">
        <w:rPr>
          <w:rFonts w:cs="Arial"/>
          <w:color w:val="000000" w:themeColor="text1"/>
          <w:sz w:val="20"/>
          <w:szCs w:val="20"/>
        </w:rPr>
        <w:t xml:space="preserve">8%.  The actuarial assumptions predict growth </w:t>
      </w:r>
      <w:r w:rsidR="00D5701A" w:rsidRPr="00900FFB">
        <w:rPr>
          <w:rFonts w:cs="Arial"/>
          <w:color w:val="000000" w:themeColor="text1"/>
          <w:sz w:val="20"/>
          <w:szCs w:val="20"/>
        </w:rPr>
        <w:t xml:space="preserve">to </w:t>
      </w:r>
      <w:r w:rsidRPr="00900FFB">
        <w:rPr>
          <w:rFonts w:cs="Arial"/>
          <w:color w:val="000000" w:themeColor="text1"/>
          <w:sz w:val="20"/>
          <w:szCs w:val="20"/>
        </w:rPr>
        <w:t xml:space="preserve">between US$900bn and US$1.1trn by </w:t>
      </w:r>
      <w:r w:rsidR="00470AEC" w:rsidRPr="00900FFB">
        <w:rPr>
          <w:rFonts w:cs="Arial"/>
          <w:color w:val="000000" w:themeColor="text1"/>
          <w:sz w:val="20"/>
          <w:szCs w:val="20"/>
        </w:rPr>
        <w:t>2035 (</w:t>
      </w:r>
      <w:r w:rsidR="00943ED2" w:rsidRPr="00900FFB">
        <w:rPr>
          <w:rFonts w:cs="Arial"/>
          <w:color w:val="000000" w:themeColor="text1"/>
          <w:sz w:val="20"/>
          <w:szCs w:val="20"/>
        </w:rPr>
        <w:t>over 300% growth)</w:t>
      </w:r>
      <w:r w:rsidR="00D5701A" w:rsidRPr="00900FFB">
        <w:rPr>
          <w:rFonts w:cs="Arial"/>
          <w:color w:val="000000" w:themeColor="text1"/>
          <w:sz w:val="20"/>
          <w:szCs w:val="20"/>
        </w:rPr>
        <w:t>!</w:t>
      </w:r>
    </w:p>
    <w:p w:rsidR="00D23C8A" w:rsidRPr="00900FFB" w:rsidRDefault="00D23C8A" w:rsidP="00D23C8A">
      <w:pPr>
        <w:pStyle w:val="ListParagraph"/>
        <w:spacing w:after="60" w:line="280" w:lineRule="exact"/>
        <w:ind w:right="317"/>
        <w:jc w:val="both"/>
        <w:rPr>
          <w:rFonts w:cs="Arial"/>
          <w:sz w:val="20"/>
          <w:szCs w:val="20"/>
        </w:rPr>
      </w:pPr>
    </w:p>
    <w:p w:rsidR="00D23C8A" w:rsidRPr="00900FFB" w:rsidRDefault="00D51DC1" w:rsidP="002B0871">
      <w:pPr>
        <w:spacing w:after="60" w:line="280" w:lineRule="exact"/>
        <w:ind w:right="317"/>
        <w:jc w:val="both"/>
        <w:rPr>
          <w:rFonts w:cs="Arial"/>
          <w:color w:val="000000" w:themeColor="text1"/>
          <w:sz w:val="20"/>
          <w:szCs w:val="20"/>
        </w:rPr>
      </w:pPr>
      <w:r w:rsidRPr="00900FFB">
        <w:rPr>
          <w:rFonts w:cs="Arial"/>
          <w:color w:val="000000" w:themeColor="text1"/>
          <w:sz w:val="20"/>
          <w:szCs w:val="20"/>
        </w:rPr>
        <w:t xml:space="preserve">Other major economies in the region are coming off a lower base in terms of the pension system development.  Arguably the pace of growth and development could or should be greater </w:t>
      </w:r>
      <w:r w:rsidR="00943ED2" w:rsidRPr="00900FFB">
        <w:rPr>
          <w:rFonts w:cs="Arial"/>
          <w:color w:val="000000" w:themeColor="text1"/>
          <w:sz w:val="20"/>
          <w:szCs w:val="20"/>
        </w:rPr>
        <w:t xml:space="preserve">for said economies.  </w:t>
      </w:r>
      <w:r w:rsidR="00470AEC" w:rsidRPr="00900FFB">
        <w:rPr>
          <w:rFonts w:cs="Arial"/>
          <w:color w:val="000000" w:themeColor="text1"/>
          <w:sz w:val="20"/>
          <w:szCs w:val="20"/>
        </w:rPr>
        <w:t>The Asian Development Bank in a 2015 publication forecast that over the following 15 years, 500 million adults in Asia will begin a pension savings plan for the first time.  This should be supportive of demand for Asia fixed income.</w:t>
      </w:r>
      <w:r w:rsidR="00744738" w:rsidRPr="00900FFB">
        <w:rPr>
          <w:rFonts w:cs="Arial"/>
          <w:color w:val="000000" w:themeColor="text1"/>
          <w:sz w:val="20"/>
          <w:szCs w:val="20"/>
        </w:rPr>
        <w:t xml:space="preserve">  </w:t>
      </w:r>
      <w:r w:rsidR="00BD246B" w:rsidRPr="00900FFB">
        <w:rPr>
          <w:rFonts w:cs="Arial"/>
          <w:color w:val="000000" w:themeColor="text1"/>
          <w:sz w:val="20"/>
          <w:szCs w:val="20"/>
        </w:rPr>
        <w:t>Furthermore, t</w:t>
      </w:r>
      <w:r w:rsidR="00744738" w:rsidRPr="00900FFB">
        <w:rPr>
          <w:rFonts w:cs="Arial"/>
          <w:color w:val="000000" w:themeColor="text1"/>
          <w:sz w:val="20"/>
          <w:szCs w:val="20"/>
        </w:rPr>
        <w:t xml:space="preserve">his will further complete the positive household savings rates that exist throughout China.  Something absent from many developed markets.  </w:t>
      </w:r>
    </w:p>
    <w:p w:rsidR="00396203" w:rsidRDefault="00396203" w:rsidP="002B0871">
      <w:pPr>
        <w:spacing w:after="60" w:line="280" w:lineRule="exact"/>
        <w:ind w:right="317"/>
        <w:jc w:val="both"/>
        <w:rPr>
          <w:rFonts w:cs="Arial"/>
          <w:b/>
          <w:color w:val="000000" w:themeColor="text1"/>
          <w:sz w:val="20"/>
          <w:szCs w:val="20"/>
        </w:rPr>
      </w:pPr>
    </w:p>
    <w:p w:rsidR="000D5B73" w:rsidRDefault="000D5B73" w:rsidP="002B0871">
      <w:pPr>
        <w:spacing w:after="60" w:line="280" w:lineRule="exact"/>
        <w:ind w:right="317"/>
        <w:jc w:val="both"/>
        <w:rPr>
          <w:rFonts w:cs="Arial"/>
          <w:b/>
          <w:color w:val="000000" w:themeColor="text1"/>
          <w:sz w:val="20"/>
          <w:szCs w:val="20"/>
        </w:rPr>
      </w:pPr>
      <w:r w:rsidRPr="00900FFB">
        <w:rPr>
          <w:rFonts w:cs="Arial"/>
          <w:b/>
          <w:color w:val="000000" w:themeColor="text1"/>
          <w:sz w:val="20"/>
          <w:szCs w:val="20"/>
        </w:rPr>
        <w:t xml:space="preserve">Regulatory </w:t>
      </w:r>
      <w:r w:rsidR="00341D2A" w:rsidRPr="00900FFB">
        <w:rPr>
          <w:rFonts w:cs="Arial"/>
          <w:b/>
          <w:color w:val="000000" w:themeColor="text1"/>
          <w:sz w:val="20"/>
          <w:szCs w:val="20"/>
        </w:rPr>
        <w:t>R</w:t>
      </w:r>
      <w:r w:rsidRPr="00900FFB">
        <w:rPr>
          <w:rFonts w:cs="Arial"/>
          <w:b/>
          <w:color w:val="000000" w:themeColor="text1"/>
          <w:sz w:val="20"/>
          <w:szCs w:val="20"/>
        </w:rPr>
        <w:t xml:space="preserve">eform / </w:t>
      </w:r>
      <w:r w:rsidR="00341D2A" w:rsidRPr="00900FFB">
        <w:rPr>
          <w:rFonts w:cs="Arial"/>
          <w:b/>
          <w:color w:val="000000" w:themeColor="text1"/>
          <w:sz w:val="20"/>
          <w:szCs w:val="20"/>
        </w:rPr>
        <w:t>H</w:t>
      </w:r>
      <w:r w:rsidRPr="00900FFB">
        <w:rPr>
          <w:rFonts w:cs="Arial"/>
          <w:b/>
          <w:color w:val="000000" w:themeColor="text1"/>
          <w:sz w:val="20"/>
          <w:szCs w:val="20"/>
        </w:rPr>
        <w:t xml:space="preserve">armonisation </w:t>
      </w:r>
      <w:r w:rsidR="00270296" w:rsidRPr="00900FFB">
        <w:rPr>
          <w:rFonts w:cs="Arial"/>
          <w:b/>
          <w:color w:val="000000" w:themeColor="text1"/>
          <w:sz w:val="20"/>
          <w:szCs w:val="20"/>
        </w:rPr>
        <w:t>in Asia</w:t>
      </w:r>
    </w:p>
    <w:p w:rsidR="00D23C8A" w:rsidRDefault="00341D2A" w:rsidP="002B0871">
      <w:pPr>
        <w:spacing w:after="60" w:line="280" w:lineRule="exact"/>
        <w:ind w:right="317"/>
        <w:jc w:val="both"/>
        <w:rPr>
          <w:rFonts w:cs="Arial"/>
          <w:color w:val="000000" w:themeColor="text1"/>
          <w:sz w:val="20"/>
          <w:szCs w:val="20"/>
        </w:rPr>
      </w:pPr>
      <w:r w:rsidRPr="00900FFB">
        <w:rPr>
          <w:rFonts w:cs="Arial"/>
          <w:color w:val="000000" w:themeColor="text1"/>
          <w:sz w:val="20"/>
          <w:szCs w:val="20"/>
        </w:rPr>
        <w:t>A challenge for Asia’s financial markets has been harmonisation of financial markets.  Lead regulators in the region collaborate and</w:t>
      </w:r>
      <w:r w:rsidR="00A977DC" w:rsidRPr="00900FFB">
        <w:rPr>
          <w:rFonts w:cs="Arial"/>
          <w:color w:val="000000" w:themeColor="text1"/>
          <w:sz w:val="20"/>
          <w:szCs w:val="20"/>
        </w:rPr>
        <w:t xml:space="preserve"> where feasible enact policy consistent with other regulators in the region.  However there is much more than can be done to reform regulation and harmonise financial markets</w:t>
      </w:r>
      <w:r w:rsidR="00270296" w:rsidRPr="00900FFB">
        <w:rPr>
          <w:rFonts w:cs="Arial"/>
          <w:color w:val="000000" w:themeColor="text1"/>
          <w:sz w:val="20"/>
          <w:szCs w:val="20"/>
        </w:rPr>
        <w:t xml:space="preserve">.  </w:t>
      </w:r>
      <w:r w:rsidRPr="00900FFB">
        <w:rPr>
          <w:rFonts w:cs="Arial"/>
          <w:color w:val="000000" w:themeColor="text1"/>
          <w:sz w:val="20"/>
          <w:szCs w:val="20"/>
        </w:rPr>
        <w:t xml:space="preserve"> </w:t>
      </w:r>
      <w:r w:rsidR="00A977DC" w:rsidRPr="00900FFB">
        <w:rPr>
          <w:rFonts w:cs="Arial"/>
          <w:color w:val="000000" w:themeColor="text1"/>
          <w:sz w:val="20"/>
          <w:szCs w:val="20"/>
        </w:rPr>
        <w:t>An interesting recent development has been the announcement that t</w:t>
      </w:r>
      <w:r w:rsidRPr="00900FFB">
        <w:rPr>
          <w:rFonts w:cs="Arial"/>
          <w:color w:val="000000" w:themeColor="text1"/>
          <w:sz w:val="20"/>
          <w:szCs w:val="20"/>
        </w:rPr>
        <w:t>he International Organisation of Securities Commissions (IOSCO), the world’s leading body of capital market regulators that oversees markets worth over US$140tril, launched its first-ever Asia-Pacific hub in Malaysia.  It will play a major role in developing capital markets, on a collaborative basis, which will help the cap</w:t>
      </w:r>
      <w:r w:rsidR="00CD5EB3">
        <w:rPr>
          <w:rFonts w:cs="Arial"/>
          <w:color w:val="000000" w:themeColor="text1"/>
          <w:sz w:val="20"/>
          <w:szCs w:val="20"/>
        </w:rPr>
        <w:t>ital markets grow even further.</w:t>
      </w:r>
      <w:r w:rsidRPr="00900FFB">
        <w:rPr>
          <w:rFonts w:cs="Arial"/>
          <w:color w:val="000000" w:themeColor="text1"/>
          <w:sz w:val="20"/>
          <w:szCs w:val="20"/>
        </w:rPr>
        <w:t xml:space="preserve"> The hub is also expected to strengthen regulat</w:t>
      </w:r>
      <w:r w:rsidR="00C925AF" w:rsidRPr="00900FFB">
        <w:rPr>
          <w:rFonts w:cs="Arial"/>
          <w:color w:val="000000" w:themeColor="text1"/>
          <w:sz w:val="20"/>
          <w:szCs w:val="20"/>
        </w:rPr>
        <w:t>o</w:t>
      </w:r>
      <w:r w:rsidR="000574BE" w:rsidRPr="00900FFB">
        <w:rPr>
          <w:rFonts w:cs="Arial"/>
          <w:color w:val="000000" w:themeColor="text1"/>
          <w:sz w:val="20"/>
          <w:szCs w:val="20"/>
        </w:rPr>
        <w:t>ry capabilities in the region.</w:t>
      </w:r>
    </w:p>
    <w:p w:rsidR="00167CDC" w:rsidRDefault="00167CDC" w:rsidP="002B0871">
      <w:pPr>
        <w:spacing w:after="60" w:line="280" w:lineRule="exact"/>
        <w:ind w:right="317"/>
        <w:jc w:val="both"/>
        <w:rPr>
          <w:rFonts w:cs="Arial"/>
          <w:color w:val="000000" w:themeColor="text1"/>
          <w:sz w:val="20"/>
          <w:szCs w:val="20"/>
        </w:rPr>
      </w:pPr>
    </w:p>
    <w:p w:rsidR="00167CDC" w:rsidRDefault="00167CDC" w:rsidP="002B0871">
      <w:pPr>
        <w:spacing w:after="60" w:line="280" w:lineRule="exact"/>
        <w:ind w:right="317"/>
        <w:jc w:val="both"/>
        <w:rPr>
          <w:rFonts w:cs="Arial"/>
          <w:color w:val="000000" w:themeColor="text1"/>
          <w:sz w:val="20"/>
          <w:szCs w:val="20"/>
        </w:rPr>
      </w:pPr>
    </w:p>
    <w:p w:rsidR="00167CDC" w:rsidRDefault="00167CDC" w:rsidP="002B0871">
      <w:pPr>
        <w:spacing w:after="60" w:line="280" w:lineRule="exact"/>
        <w:ind w:right="317"/>
        <w:jc w:val="both"/>
        <w:rPr>
          <w:rFonts w:cs="Arial"/>
          <w:color w:val="000000" w:themeColor="text1"/>
          <w:sz w:val="20"/>
          <w:szCs w:val="20"/>
        </w:rPr>
      </w:pPr>
    </w:p>
    <w:p w:rsidR="002306F7" w:rsidRDefault="002306F7" w:rsidP="002B0871">
      <w:pPr>
        <w:spacing w:after="60" w:line="280" w:lineRule="exact"/>
        <w:ind w:right="317"/>
        <w:jc w:val="both"/>
        <w:rPr>
          <w:rFonts w:cs="Arial"/>
          <w:color w:val="000000" w:themeColor="text1"/>
          <w:sz w:val="20"/>
          <w:szCs w:val="20"/>
        </w:rPr>
      </w:pPr>
    </w:p>
    <w:p w:rsidR="00167CDC" w:rsidRDefault="00167CDC" w:rsidP="002B0871">
      <w:pPr>
        <w:spacing w:after="60" w:line="280" w:lineRule="exact"/>
        <w:ind w:right="317"/>
        <w:jc w:val="both"/>
        <w:rPr>
          <w:rFonts w:cs="Arial"/>
          <w:color w:val="000000" w:themeColor="text1"/>
          <w:sz w:val="20"/>
          <w:szCs w:val="20"/>
        </w:rPr>
      </w:pPr>
    </w:p>
    <w:p w:rsidR="00C12B7E" w:rsidRPr="00900FFB" w:rsidRDefault="000D5B73" w:rsidP="002B0871">
      <w:pPr>
        <w:spacing w:after="60" w:line="280" w:lineRule="exact"/>
        <w:ind w:right="317"/>
        <w:jc w:val="both"/>
        <w:rPr>
          <w:rFonts w:cs="Arial"/>
          <w:b/>
          <w:color w:val="000000" w:themeColor="text1"/>
          <w:sz w:val="20"/>
          <w:szCs w:val="20"/>
        </w:rPr>
      </w:pPr>
      <w:r w:rsidRPr="00900FFB">
        <w:rPr>
          <w:rFonts w:cs="Arial"/>
          <w:b/>
          <w:color w:val="000000" w:themeColor="text1"/>
          <w:sz w:val="20"/>
          <w:szCs w:val="20"/>
        </w:rPr>
        <w:t xml:space="preserve">China </w:t>
      </w:r>
      <w:r w:rsidR="003D578B" w:rsidRPr="00900FFB">
        <w:rPr>
          <w:rFonts w:cs="Arial"/>
          <w:b/>
          <w:color w:val="000000" w:themeColor="text1"/>
          <w:sz w:val="20"/>
          <w:szCs w:val="20"/>
        </w:rPr>
        <w:t>O</w:t>
      </w:r>
      <w:r w:rsidRPr="00900FFB">
        <w:rPr>
          <w:rFonts w:cs="Arial"/>
          <w:b/>
          <w:color w:val="000000" w:themeColor="text1"/>
          <w:sz w:val="20"/>
          <w:szCs w:val="20"/>
        </w:rPr>
        <w:t xml:space="preserve">nshore </w:t>
      </w:r>
    </w:p>
    <w:p w:rsidR="002306F7" w:rsidRPr="00BF7748" w:rsidRDefault="00D83247" w:rsidP="002B0871">
      <w:pPr>
        <w:spacing w:after="60" w:line="280" w:lineRule="exact"/>
        <w:ind w:right="317"/>
        <w:jc w:val="both"/>
        <w:rPr>
          <w:rFonts w:cs="Arial"/>
          <w:color w:val="000000" w:themeColor="text1"/>
          <w:sz w:val="20"/>
          <w:szCs w:val="20"/>
        </w:rPr>
      </w:pPr>
      <w:r w:rsidRPr="00900FFB">
        <w:rPr>
          <w:rFonts w:cs="Arial"/>
          <w:color w:val="000000" w:themeColor="text1"/>
          <w:sz w:val="20"/>
          <w:szCs w:val="20"/>
        </w:rPr>
        <w:t xml:space="preserve">A recent development that directly impacts the Asian bond market </w:t>
      </w:r>
      <w:r w:rsidR="00C925AF" w:rsidRPr="00900FFB">
        <w:rPr>
          <w:rFonts w:cs="Arial"/>
          <w:color w:val="000000" w:themeColor="text1"/>
          <w:sz w:val="20"/>
          <w:szCs w:val="20"/>
        </w:rPr>
        <w:t xml:space="preserve">is the ongoing opening of the China onshore bond market.  Whilst access is available within certain daily limits, the longer term objective is to support two way flows of capital, specifically between onshore China and Hong Kong.  Initially the development is aimed at attracting international investors to its vast onshore markets (the world’s third largest).  By broadening the investor pool it should improve the quality of its onshore debt markets and ultimately stem outgoing capital flows.  The next step would be larger two way flows that should be supportive of Asian bond markets.  </w:t>
      </w:r>
    </w:p>
    <w:p w:rsidR="002306F7" w:rsidRDefault="002306F7" w:rsidP="002B0871">
      <w:pPr>
        <w:spacing w:after="60" w:line="280" w:lineRule="exact"/>
        <w:ind w:right="317"/>
        <w:jc w:val="both"/>
        <w:rPr>
          <w:rFonts w:cs="Arial"/>
          <w:b/>
          <w:color w:val="000000" w:themeColor="text1"/>
          <w:sz w:val="20"/>
          <w:szCs w:val="20"/>
        </w:rPr>
      </w:pPr>
    </w:p>
    <w:p w:rsidR="00167CDC" w:rsidRPr="00B2278D" w:rsidRDefault="00167CDC" w:rsidP="00B2278D">
      <w:pPr>
        <w:spacing w:after="120" w:line="288" w:lineRule="auto"/>
        <w:ind w:right="323"/>
        <w:rPr>
          <w:rFonts w:cs="Arial"/>
          <w:bCs/>
          <w:color w:val="000000" w:themeColor="text1"/>
          <w:kern w:val="32"/>
          <w:sz w:val="16"/>
          <w:szCs w:val="16"/>
        </w:rPr>
      </w:pPr>
      <w:r>
        <w:rPr>
          <w:rFonts w:cs="Arial"/>
          <w:b/>
          <w:color w:val="000000" w:themeColor="text1"/>
          <w:sz w:val="20"/>
          <w:szCs w:val="20"/>
        </w:rPr>
        <w:t>S</w:t>
      </w:r>
      <w:r w:rsidR="003D578B" w:rsidRPr="00900FFB">
        <w:rPr>
          <w:rFonts w:cs="Arial"/>
          <w:b/>
          <w:color w:val="000000" w:themeColor="text1"/>
          <w:sz w:val="20"/>
          <w:szCs w:val="20"/>
        </w:rPr>
        <w:t>ummary View</w:t>
      </w:r>
      <w:r w:rsidR="00B2278D" w:rsidRPr="00B2278D">
        <w:rPr>
          <w:rFonts w:cs="Arial"/>
          <w:bCs/>
          <w:color w:val="000000" w:themeColor="text1"/>
          <w:kern w:val="32"/>
          <w:sz w:val="16"/>
          <w:szCs w:val="16"/>
        </w:rPr>
        <w:t xml:space="preserve"> </w:t>
      </w:r>
    </w:p>
    <w:p w:rsidR="009F0D2B" w:rsidRDefault="003D578B" w:rsidP="002B0871">
      <w:pPr>
        <w:spacing w:after="60" w:line="280" w:lineRule="exact"/>
        <w:ind w:right="317"/>
        <w:jc w:val="both"/>
        <w:rPr>
          <w:rFonts w:cs="Arial"/>
          <w:color w:val="000000" w:themeColor="text1"/>
          <w:sz w:val="20"/>
          <w:szCs w:val="20"/>
        </w:rPr>
      </w:pPr>
      <w:r w:rsidRPr="00900FFB">
        <w:rPr>
          <w:rFonts w:cs="Arial"/>
          <w:color w:val="000000" w:themeColor="text1"/>
          <w:sz w:val="20"/>
          <w:szCs w:val="20"/>
        </w:rPr>
        <w:t xml:space="preserve">Asia remains the region with better economic growth and contained inflation. The demographics are deteriorating and requires focus from governments on pensions and savings which is being done so in countries such as Singapore and Hong Kong, but needs further action in many others.  Pension growth should underpin support for Asia USD Investment Grade in the coming years. </w:t>
      </w:r>
      <w:r w:rsidR="0057772C">
        <w:rPr>
          <w:rFonts w:cs="Arial"/>
          <w:color w:val="000000" w:themeColor="text1"/>
          <w:sz w:val="20"/>
          <w:szCs w:val="20"/>
        </w:rPr>
        <w:t>T</w:t>
      </w:r>
      <w:r w:rsidRPr="00900FFB">
        <w:rPr>
          <w:rFonts w:cs="Arial"/>
          <w:color w:val="000000" w:themeColor="text1"/>
          <w:sz w:val="20"/>
          <w:szCs w:val="20"/>
        </w:rPr>
        <w:t xml:space="preserve">he announcement of IOSCO’s first hub in Asia (we believe) is a significant step towards the promotion of more harmonisation across the countries in Asia.  </w:t>
      </w:r>
      <w:r w:rsidR="00167CDC">
        <w:rPr>
          <w:rFonts w:cs="Arial"/>
          <w:color w:val="000000" w:themeColor="text1"/>
          <w:sz w:val="20"/>
          <w:szCs w:val="20"/>
        </w:rPr>
        <w:t xml:space="preserve">Additionally, </w:t>
      </w:r>
      <w:r w:rsidR="00167CDC">
        <w:rPr>
          <w:sz w:val="20"/>
          <w:szCs w:val="20"/>
        </w:rPr>
        <w:t>Asian Credit valuation has become more attractive following months of spread widening,</w:t>
      </w:r>
      <w:r w:rsidR="00167CDC" w:rsidRPr="00167CDC">
        <w:rPr>
          <w:sz w:val="20"/>
          <w:szCs w:val="20"/>
        </w:rPr>
        <w:t xml:space="preserve"> </w:t>
      </w:r>
      <w:r w:rsidR="00167CDC">
        <w:rPr>
          <w:sz w:val="20"/>
          <w:szCs w:val="20"/>
        </w:rPr>
        <w:t>especially for all in yield investors such as the pension funds and insurance companies.</w:t>
      </w:r>
      <w:r w:rsidR="00167CDC">
        <w:rPr>
          <w:rFonts w:cs="Arial"/>
          <w:color w:val="000000" w:themeColor="text1"/>
          <w:sz w:val="20"/>
          <w:szCs w:val="20"/>
        </w:rPr>
        <w:t xml:space="preserve"> </w:t>
      </w:r>
    </w:p>
    <w:p w:rsidR="00D23C8A" w:rsidRPr="00900FFB" w:rsidRDefault="00D23C8A" w:rsidP="002B0871">
      <w:pPr>
        <w:spacing w:after="60" w:line="280" w:lineRule="exact"/>
        <w:ind w:right="317"/>
        <w:jc w:val="both"/>
        <w:rPr>
          <w:rFonts w:cs="Arial"/>
          <w:color w:val="000000" w:themeColor="text1"/>
          <w:sz w:val="20"/>
          <w:szCs w:val="20"/>
        </w:rPr>
      </w:pPr>
    </w:p>
    <w:p w:rsidR="007647F3" w:rsidRPr="00D20C22" w:rsidRDefault="003D578B" w:rsidP="00D20C22">
      <w:pPr>
        <w:spacing w:after="60" w:line="280" w:lineRule="exact"/>
        <w:ind w:right="317"/>
        <w:jc w:val="both"/>
        <w:rPr>
          <w:rFonts w:cs="Arial"/>
          <w:color w:val="000000" w:themeColor="text1"/>
          <w:sz w:val="20"/>
          <w:szCs w:val="20"/>
        </w:rPr>
      </w:pPr>
      <w:r w:rsidRPr="00900FFB">
        <w:rPr>
          <w:rFonts w:cs="Arial"/>
          <w:color w:val="000000" w:themeColor="text1"/>
          <w:sz w:val="20"/>
          <w:szCs w:val="20"/>
        </w:rPr>
        <w:t>When considering these factors, the demand point to a strengthening bias.  This is why when we meet investors yet to allocate to Asia USD Investment Grade our suggestion is to consider it as a core holding going forward.</w:t>
      </w:r>
      <w:r w:rsidR="00167CDC" w:rsidRPr="00167CDC">
        <w:rPr>
          <w:rFonts w:cs="Arial"/>
          <w:noProof/>
          <w:color w:val="000000" w:themeColor="text1"/>
          <w:sz w:val="20"/>
          <w:szCs w:val="20"/>
          <w:lang w:val="en-US"/>
        </w:rPr>
        <w:t xml:space="preserve"> </w:t>
      </w:r>
      <w:r w:rsidR="000D5B73" w:rsidRPr="00900FFB">
        <w:rPr>
          <w:rFonts w:cs="Arial"/>
          <w:color w:val="000000" w:themeColor="text1"/>
          <w:sz w:val="20"/>
          <w:szCs w:val="20"/>
        </w:rPr>
        <w:br w:type="page"/>
      </w:r>
      <w:bookmarkStart w:id="5" w:name="_GoBack"/>
      <w:bookmarkEnd w:id="5"/>
      <w:r w:rsidR="00A71698" w:rsidRPr="00900FFB">
        <w:rPr>
          <w:rFonts w:cs="Arial"/>
          <w:b/>
          <w:color w:val="0A96D7"/>
          <w:sz w:val="22"/>
        </w:rPr>
        <w:lastRenderedPageBreak/>
        <w:t>Why Asian Fixed Income</w:t>
      </w:r>
      <w:bookmarkEnd w:id="4"/>
    </w:p>
    <w:p w:rsidR="009D5C64" w:rsidRDefault="00A71698" w:rsidP="00D23C8A">
      <w:pPr>
        <w:spacing w:after="60" w:line="280" w:lineRule="exact"/>
        <w:ind w:right="317"/>
        <w:jc w:val="both"/>
        <w:rPr>
          <w:rFonts w:cs="Arial"/>
          <w:color w:val="000000" w:themeColor="text1"/>
          <w:sz w:val="20"/>
          <w:szCs w:val="20"/>
        </w:rPr>
      </w:pPr>
      <w:r w:rsidRPr="00900FFB">
        <w:rPr>
          <w:rFonts w:cs="Arial"/>
          <w:color w:val="000000" w:themeColor="text1"/>
          <w:sz w:val="20"/>
          <w:szCs w:val="20"/>
        </w:rPr>
        <w:t xml:space="preserve">We believe we stand at a juncture where Asia Fixed Income (specifically USD credit) should be considered a strategic allocation instead of tactical.  The market is maturing and consistently produces risk adjusted returns that compare well across other asset classes.   Demand continues to grow for Asia Fixed Income yet globally, the asset class remains under allocated.  </w:t>
      </w:r>
      <w:r w:rsidR="00F717D7" w:rsidRPr="00900FFB">
        <w:rPr>
          <w:rFonts w:cs="Arial"/>
          <w:color w:val="000000" w:themeColor="text1"/>
          <w:sz w:val="20"/>
          <w:szCs w:val="20"/>
        </w:rPr>
        <w:t xml:space="preserve">The previous </w:t>
      </w:r>
      <w:r w:rsidRPr="00900FFB">
        <w:rPr>
          <w:rFonts w:cs="Arial"/>
          <w:color w:val="000000" w:themeColor="text1"/>
          <w:sz w:val="20"/>
          <w:szCs w:val="20"/>
        </w:rPr>
        <w:t xml:space="preserve">long held concerns about allocating to Asia Fixed Income </w:t>
      </w:r>
      <w:r w:rsidR="00F717D7" w:rsidRPr="00900FFB">
        <w:rPr>
          <w:rFonts w:cs="Arial"/>
          <w:color w:val="000000" w:themeColor="text1"/>
          <w:sz w:val="20"/>
          <w:szCs w:val="20"/>
        </w:rPr>
        <w:t xml:space="preserve">have </w:t>
      </w:r>
      <w:r w:rsidRPr="00900FFB">
        <w:rPr>
          <w:rFonts w:cs="Arial"/>
          <w:color w:val="000000" w:themeColor="text1"/>
          <w:sz w:val="20"/>
          <w:szCs w:val="20"/>
        </w:rPr>
        <w:t xml:space="preserve">diminishing.  </w:t>
      </w:r>
      <w:r w:rsidR="00F717D7" w:rsidRPr="00900FFB">
        <w:rPr>
          <w:rFonts w:cs="Arial"/>
          <w:color w:val="000000" w:themeColor="text1"/>
          <w:sz w:val="20"/>
          <w:szCs w:val="20"/>
        </w:rPr>
        <w:t>Historically t</w:t>
      </w:r>
      <w:r w:rsidRPr="00900FFB">
        <w:rPr>
          <w:rFonts w:cs="Arial"/>
          <w:color w:val="000000" w:themeColor="text1"/>
          <w:sz w:val="20"/>
          <w:szCs w:val="20"/>
        </w:rPr>
        <w:t>he primary concerns with Asia Fixed Income are:</w:t>
      </w:r>
    </w:p>
    <w:p w:rsidR="00D23C8A" w:rsidRPr="00900FFB" w:rsidRDefault="00D23C8A" w:rsidP="00D23C8A">
      <w:pPr>
        <w:spacing w:after="60" w:line="280" w:lineRule="exact"/>
        <w:ind w:right="317"/>
        <w:jc w:val="both"/>
        <w:rPr>
          <w:rFonts w:cs="Arial"/>
          <w:color w:val="000000" w:themeColor="text1"/>
          <w:sz w:val="20"/>
          <w:szCs w:val="20"/>
        </w:rPr>
      </w:pPr>
    </w:p>
    <w:p w:rsidR="00A71698" w:rsidRPr="00900FFB" w:rsidRDefault="00A71698" w:rsidP="00D23C8A">
      <w:pPr>
        <w:pStyle w:val="ListParagraph"/>
        <w:numPr>
          <w:ilvl w:val="0"/>
          <w:numId w:val="25"/>
        </w:numPr>
        <w:spacing w:after="60" w:line="280" w:lineRule="exact"/>
        <w:ind w:left="317" w:right="317" w:hanging="306"/>
        <w:jc w:val="both"/>
        <w:rPr>
          <w:rFonts w:cs="Arial"/>
          <w:color w:val="000000" w:themeColor="text1"/>
          <w:sz w:val="20"/>
          <w:szCs w:val="20"/>
        </w:rPr>
      </w:pPr>
      <w:r w:rsidRPr="00900FFB">
        <w:rPr>
          <w:rFonts w:cs="Arial"/>
          <w:color w:val="000000" w:themeColor="text1"/>
          <w:sz w:val="20"/>
          <w:szCs w:val="20"/>
        </w:rPr>
        <w:t>Lack of Diversification</w:t>
      </w:r>
    </w:p>
    <w:p w:rsidR="00A71698" w:rsidRPr="00900FFB" w:rsidRDefault="00F717D7" w:rsidP="00D23C8A">
      <w:pPr>
        <w:pStyle w:val="ListParagraph"/>
        <w:numPr>
          <w:ilvl w:val="0"/>
          <w:numId w:val="25"/>
        </w:numPr>
        <w:spacing w:after="60" w:line="280" w:lineRule="exact"/>
        <w:ind w:left="317" w:right="317" w:hanging="306"/>
        <w:jc w:val="both"/>
        <w:rPr>
          <w:rFonts w:cs="Arial"/>
          <w:color w:val="000000" w:themeColor="text1"/>
          <w:sz w:val="20"/>
          <w:szCs w:val="20"/>
        </w:rPr>
      </w:pPr>
      <w:r w:rsidRPr="00900FFB">
        <w:rPr>
          <w:rFonts w:cs="Arial"/>
          <w:color w:val="000000" w:themeColor="text1"/>
          <w:sz w:val="20"/>
          <w:szCs w:val="20"/>
        </w:rPr>
        <w:t xml:space="preserve">Low </w:t>
      </w:r>
      <w:r w:rsidR="00A71698" w:rsidRPr="00900FFB">
        <w:rPr>
          <w:rFonts w:cs="Arial"/>
          <w:color w:val="000000" w:themeColor="text1"/>
          <w:sz w:val="20"/>
          <w:szCs w:val="20"/>
        </w:rPr>
        <w:t xml:space="preserve">Credit </w:t>
      </w:r>
      <w:r w:rsidR="004F1C84" w:rsidRPr="00900FFB">
        <w:rPr>
          <w:rFonts w:cs="Arial"/>
          <w:color w:val="000000" w:themeColor="text1"/>
          <w:sz w:val="20"/>
          <w:szCs w:val="20"/>
        </w:rPr>
        <w:t>Q</w:t>
      </w:r>
      <w:r w:rsidR="00A71698" w:rsidRPr="00900FFB">
        <w:rPr>
          <w:rFonts w:cs="Arial"/>
          <w:color w:val="000000" w:themeColor="text1"/>
          <w:sz w:val="20"/>
          <w:szCs w:val="20"/>
        </w:rPr>
        <w:t>uality</w:t>
      </w:r>
    </w:p>
    <w:p w:rsidR="00A71698" w:rsidRPr="00900FFB" w:rsidRDefault="00F717D7" w:rsidP="00D23C8A">
      <w:pPr>
        <w:pStyle w:val="ListParagraph"/>
        <w:numPr>
          <w:ilvl w:val="0"/>
          <w:numId w:val="25"/>
        </w:numPr>
        <w:spacing w:after="60" w:line="280" w:lineRule="exact"/>
        <w:ind w:left="317" w:right="317" w:hanging="306"/>
        <w:jc w:val="both"/>
        <w:rPr>
          <w:rFonts w:cs="Arial"/>
          <w:color w:val="000000" w:themeColor="text1"/>
          <w:sz w:val="20"/>
          <w:szCs w:val="20"/>
        </w:rPr>
      </w:pPr>
      <w:r w:rsidRPr="00900FFB">
        <w:rPr>
          <w:rFonts w:cs="Arial"/>
          <w:color w:val="000000" w:themeColor="text1"/>
          <w:sz w:val="20"/>
          <w:szCs w:val="20"/>
        </w:rPr>
        <w:t>Excessive</w:t>
      </w:r>
      <w:r w:rsidR="00A71698" w:rsidRPr="00900FFB">
        <w:rPr>
          <w:rFonts w:cs="Arial"/>
          <w:color w:val="000000" w:themeColor="text1"/>
          <w:sz w:val="20"/>
          <w:szCs w:val="20"/>
        </w:rPr>
        <w:t xml:space="preserve"> Volatility</w:t>
      </w:r>
    </w:p>
    <w:p w:rsidR="009D5C64" w:rsidRPr="00900FFB" w:rsidRDefault="00A71698" w:rsidP="00D23C8A">
      <w:pPr>
        <w:pStyle w:val="ListParagraph"/>
        <w:numPr>
          <w:ilvl w:val="0"/>
          <w:numId w:val="25"/>
        </w:numPr>
        <w:spacing w:after="60" w:line="280" w:lineRule="exact"/>
        <w:ind w:left="317" w:right="317" w:hanging="306"/>
        <w:jc w:val="both"/>
        <w:rPr>
          <w:rFonts w:eastAsia="MS PGothic" w:cs="Arial"/>
          <w:bCs/>
          <w:iCs/>
          <w:color w:val="000000" w:themeColor="text1"/>
          <w:kern w:val="24"/>
          <w:sz w:val="20"/>
          <w:szCs w:val="20"/>
        </w:rPr>
      </w:pPr>
      <w:r w:rsidRPr="00900FFB">
        <w:rPr>
          <w:rFonts w:cs="Arial"/>
          <w:color w:val="000000" w:themeColor="text1"/>
          <w:sz w:val="20"/>
          <w:szCs w:val="20"/>
        </w:rPr>
        <w:t>Inadequate Returns</w:t>
      </w:r>
    </w:p>
    <w:p w:rsidR="00D23C8A" w:rsidRDefault="00D23C8A" w:rsidP="00D23C8A">
      <w:pPr>
        <w:spacing w:after="60" w:line="280" w:lineRule="exact"/>
        <w:ind w:right="317"/>
        <w:jc w:val="both"/>
        <w:rPr>
          <w:rFonts w:cs="Arial"/>
          <w:color w:val="000000" w:themeColor="text1"/>
          <w:sz w:val="20"/>
          <w:szCs w:val="20"/>
        </w:rPr>
      </w:pPr>
    </w:p>
    <w:p w:rsidR="009D5C64" w:rsidRPr="00900FFB" w:rsidRDefault="00A71698" w:rsidP="00D23C8A">
      <w:pPr>
        <w:spacing w:after="60" w:line="280" w:lineRule="exact"/>
        <w:ind w:right="317"/>
        <w:jc w:val="both"/>
        <w:rPr>
          <w:rFonts w:cs="Arial"/>
          <w:color w:val="000000" w:themeColor="text1"/>
          <w:sz w:val="20"/>
          <w:szCs w:val="20"/>
        </w:rPr>
      </w:pPr>
      <w:r w:rsidRPr="00900FFB">
        <w:rPr>
          <w:rFonts w:cs="Arial"/>
          <w:color w:val="000000" w:themeColor="text1"/>
          <w:sz w:val="20"/>
          <w:szCs w:val="20"/>
        </w:rPr>
        <w:t>We believe that the growth and development of the Asia Fixed Income market in recent years will continue diminishing</w:t>
      </w:r>
      <w:r w:rsidR="00F717D7" w:rsidRPr="00900FFB">
        <w:rPr>
          <w:rFonts w:cs="Arial"/>
          <w:color w:val="000000" w:themeColor="text1"/>
          <w:sz w:val="20"/>
          <w:szCs w:val="20"/>
        </w:rPr>
        <w:t xml:space="preserve"> even further the concerns above.</w:t>
      </w:r>
      <w:r w:rsidRPr="00900FFB">
        <w:rPr>
          <w:rFonts w:cs="Arial"/>
          <w:color w:val="000000" w:themeColor="text1"/>
          <w:sz w:val="20"/>
          <w:szCs w:val="20"/>
        </w:rPr>
        <w:t xml:space="preserve">  </w:t>
      </w:r>
    </w:p>
    <w:p w:rsidR="00D23C8A" w:rsidRDefault="00D23C8A" w:rsidP="00D23C8A">
      <w:pPr>
        <w:spacing w:after="60" w:line="280" w:lineRule="exact"/>
        <w:ind w:right="317"/>
        <w:jc w:val="both"/>
        <w:rPr>
          <w:rFonts w:cs="Arial"/>
          <w:b/>
          <w:color w:val="000000" w:themeColor="text1"/>
          <w:sz w:val="20"/>
          <w:szCs w:val="20"/>
        </w:rPr>
      </w:pPr>
    </w:p>
    <w:p w:rsidR="008825CF" w:rsidRPr="00900FFB" w:rsidRDefault="009D5C64" w:rsidP="00D23C8A">
      <w:pPr>
        <w:spacing w:after="60" w:line="280" w:lineRule="exact"/>
        <w:ind w:right="317"/>
        <w:jc w:val="both"/>
        <w:rPr>
          <w:rFonts w:cs="Arial"/>
          <w:b/>
          <w:color w:val="000000" w:themeColor="text1"/>
          <w:sz w:val="20"/>
          <w:szCs w:val="20"/>
        </w:rPr>
      </w:pPr>
      <w:r w:rsidRPr="00900FFB">
        <w:rPr>
          <w:rFonts w:cs="Arial"/>
          <w:b/>
          <w:color w:val="000000" w:themeColor="text1"/>
          <w:sz w:val="20"/>
          <w:szCs w:val="20"/>
        </w:rPr>
        <w:t xml:space="preserve">Lack of Diversification </w:t>
      </w:r>
    </w:p>
    <w:p w:rsidR="00C44DAD" w:rsidRDefault="009D5C64" w:rsidP="00D23C8A">
      <w:pPr>
        <w:spacing w:after="60" w:line="280" w:lineRule="exact"/>
        <w:ind w:right="317"/>
        <w:jc w:val="both"/>
        <w:rPr>
          <w:rFonts w:cs="Arial"/>
          <w:color w:val="000000" w:themeColor="text1"/>
          <w:sz w:val="20"/>
          <w:szCs w:val="20"/>
        </w:rPr>
      </w:pPr>
      <w:r w:rsidRPr="00900FFB">
        <w:rPr>
          <w:rFonts w:cs="Arial"/>
          <w:color w:val="000000" w:themeColor="text1"/>
          <w:sz w:val="20"/>
          <w:szCs w:val="20"/>
        </w:rPr>
        <w:t xml:space="preserve">Asia Fixed Income markets have experienced significant growth since 2008.  By way of example, we consider the growth in a widely used Asian Fixed Income Benchmark, JP Morgan Asia Credit Index (“JACI”).  Since 2008, JACI </w:t>
      </w:r>
      <w:r w:rsidR="00F717D7" w:rsidRPr="00900FFB">
        <w:rPr>
          <w:rFonts w:cs="Arial"/>
          <w:color w:val="000000" w:themeColor="text1"/>
          <w:sz w:val="20"/>
          <w:szCs w:val="20"/>
        </w:rPr>
        <w:t xml:space="preserve">has quadrupled </w:t>
      </w:r>
      <w:r w:rsidR="008B48B7" w:rsidRPr="00900FFB">
        <w:rPr>
          <w:rFonts w:cs="Arial"/>
          <w:color w:val="000000" w:themeColor="text1"/>
          <w:sz w:val="20"/>
          <w:szCs w:val="20"/>
        </w:rPr>
        <w:t>its market</w:t>
      </w:r>
      <w:r w:rsidRPr="00900FFB">
        <w:rPr>
          <w:rFonts w:cs="Arial"/>
          <w:color w:val="000000" w:themeColor="text1"/>
          <w:sz w:val="20"/>
          <w:szCs w:val="20"/>
        </w:rPr>
        <w:t xml:space="preserve"> capitalization</w:t>
      </w:r>
      <w:r w:rsidR="001C3EAD" w:rsidRPr="00900FFB">
        <w:rPr>
          <w:rFonts w:cs="Arial"/>
          <w:color w:val="000000" w:themeColor="text1"/>
          <w:sz w:val="20"/>
          <w:szCs w:val="20"/>
        </w:rPr>
        <w:t xml:space="preserve"> (Chart 1 below)</w:t>
      </w:r>
      <w:r w:rsidRPr="00900FFB">
        <w:rPr>
          <w:rFonts w:cs="Arial"/>
          <w:color w:val="000000" w:themeColor="text1"/>
          <w:sz w:val="20"/>
          <w:szCs w:val="20"/>
        </w:rPr>
        <w:t xml:space="preserve">.  Within that, the number of issuers in the benchmark has </w:t>
      </w:r>
      <w:r w:rsidR="009F4598">
        <w:rPr>
          <w:rFonts w:cs="Arial"/>
          <w:color w:val="000000" w:themeColor="text1"/>
          <w:sz w:val="20"/>
          <w:szCs w:val="20"/>
        </w:rPr>
        <w:t xml:space="preserve">almost </w:t>
      </w:r>
      <w:r w:rsidRPr="00900FFB">
        <w:rPr>
          <w:rFonts w:cs="Arial"/>
          <w:color w:val="000000" w:themeColor="text1"/>
          <w:sz w:val="20"/>
          <w:szCs w:val="20"/>
        </w:rPr>
        <w:t>tripled. When considering the number of issuers and that Asian Fixed Income issuers (eligible for benchm</w:t>
      </w:r>
      <w:r w:rsidR="009F4598">
        <w:rPr>
          <w:rFonts w:cs="Arial"/>
          <w:color w:val="000000" w:themeColor="text1"/>
          <w:sz w:val="20"/>
          <w:szCs w:val="20"/>
        </w:rPr>
        <w:t>ark inclusion) originate from 17</w:t>
      </w:r>
      <w:r w:rsidRPr="00900FFB">
        <w:rPr>
          <w:rFonts w:cs="Arial"/>
          <w:color w:val="000000" w:themeColor="text1"/>
          <w:sz w:val="20"/>
          <w:szCs w:val="20"/>
        </w:rPr>
        <w:t xml:space="preserve"> different </w:t>
      </w:r>
      <w:r w:rsidR="008B48B7" w:rsidRPr="00900FFB">
        <w:rPr>
          <w:rFonts w:cs="Arial"/>
          <w:color w:val="000000" w:themeColor="text1"/>
          <w:sz w:val="20"/>
          <w:szCs w:val="20"/>
        </w:rPr>
        <w:t>countries, this</w:t>
      </w:r>
      <w:r w:rsidRPr="00900FFB">
        <w:rPr>
          <w:rFonts w:cs="Arial"/>
          <w:color w:val="000000" w:themeColor="text1"/>
          <w:sz w:val="20"/>
          <w:szCs w:val="20"/>
        </w:rPr>
        <w:t xml:space="preserve"> facilitates the construction of portfolios far more diversified than ever before.  Today China issuers are the largest constituent of Asia Fixed Income, followed by </w:t>
      </w:r>
      <w:r w:rsidR="00CD5EB3">
        <w:rPr>
          <w:rFonts w:cs="Arial"/>
          <w:color w:val="000000" w:themeColor="text1"/>
          <w:sz w:val="20"/>
          <w:szCs w:val="20"/>
        </w:rPr>
        <w:t>Indonesia, South Korea, Hong Kong, and India.</w:t>
      </w:r>
    </w:p>
    <w:p w:rsidR="00BF7748" w:rsidRDefault="00BF7748" w:rsidP="00D23C8A">
      <w:pPr>
        <w:spacing w:after="60" w:line="280" w:lineRule="exact"/>
        <w:ind w:right="317"/>
        <w:jc w:val="both"/>
        <w:rPr>
          <w:rFonts w:cs="Arial"/>
          <w:color w:val="000000" w:themeColor="text1"/>
          <w:sz w:val="20"/>
          <w:szCs w:val="20"/>
        </w:rPr>
      </w:pPr>
    </w:p>
    <w:p w:rsidR="00BF7748" w:rsidRDefault="00BF7748" w:rsidP="00BF7748">
      <w:pPr>
        <w:pStyle w:val="NormalWeb"/>
        <w:spacing w:before="0" w:beforeAutospacing="0" w:after="0" w:afterAutospacing="0"/>
        <w:jc w:val="center"/>
        <w:rPr>
          <w:lang w:val="en-US"/>
        </w:rPr>
      </w:pPr>
      <w:r>
        <w:rPr>
          <w:rFonts w:ascii="Arial" w:eastAsiaTheme="minorEastAsia" w:hAnsi="Arial" w:cs="Arial"/>
          <w:b/>
          <w:bCs/>
          <w:color w:val="262626"/>
          <w:kern w:val="24"/>
          <w:sz w:val="22"/>
          <w:szCs w:val="22"/>
          <w14:textFill>
            <w14:solidFill>
              <w14:srgbClr w14:val="262626">
                <w14:lumMod w14:val="85000"/>
                <w14:lumOff w14:val="15000"/>
              </w14:srgbClr>
            </w14:solidFill>
          </w14:textFill>
        </w:rPr>
        <w:t>Chart 1: JP Morgan Asia Credit Index</w:t>
      </w:r>
    </w:p>
    <w:p w:rsidR="00BF7748" w:rsidRPr="00BF7748" w:rsidRDefault="00BF7748" w:rsidP="00BF7748">
      <w:pPr>
        <w:pStyle w:val="NormalWeb"/>
        <w:spacing w:before="0" w:beforeAutospacing="0" w:after="0" w:afterAutospacing="0"/>
        <w:jc w:val="center"/>
      </w:pPr>
      <w:r>
        <w:rPr>
          <w:rFonts w:ascii="Arial" w:eastAsiaTheme="minorEastAsia" w:hAnsi="Arial" w:cs="Arial"/>
          <w:b/>
          <w:bCs/>
          <w:color w:val="262626"/>
          <w:kern w:val="24"/>
          <w:sz w:val="22"/>
          <w:szCs w:val="22"/>
          <w14:textFill>
            <w14:solidFill>
              <w14:srgbClr w14:val="262626">
                <w14:lumMod w14:val="85000"/>
                <w14:lumOff w14:val="15000"/>
              </w14:srgbClr>
            </w14:solidFill>
          </w14:textFill>
        </w:rPr>
        <w:t>Expanding Investment Universe</w:t>
      </w:r>
    </w:p>
    <w:p w:rsidR="00D84908" w:rsidRPr="00900FFB" w:rsidRDefault="00C44DAD" w:rsidP="000574BE">
      <w:pPr>
        <w:spacing w:after="120" w:line="288" w:lineRule="auto"/>
        <w:ind w:right="323"/>
        <w:jc w:val="center"/>
        <w:rPr>
          <w:rFonts w:cs="Arial"/>
          <w:color w:val="000000" w:themeColor="text1"/>
          <w:sz w:val="20"/>
          <w:szCs w:val="20"/>
        </w:rPr>
      </w:pPr>
      <w:r w:rsidRPr="00C44DAD">
        <w:rPr>
          <w:noProof/>
          <w:lang w:val="en-US"/>
        </w:rPr>
        <w:t xml:space="preserve"> </w:t>
      </w:r>
      <w:r w:rsidR="00BF7748">
        <w:rPr>
          <w:noProof/>
          <w:lang w:val="en-US" w:eastAsia="zh-TW"/>
        </w:rPr>
        <w:drawing>
          <wp:inline distT="0" distB="0" distL="0" distR="0" wp14:anchorId="63166BF5" wp14:editId="6E387E3A">
            <wp:extent cx="4520753" cy="2740795"/>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stretch>
                      <a:fillRect/>
                    </a:stretch>
                  </pic:blipFill>
                  <pic:spPr>
                    <a:xfrm>
                      <a:off x="0" y="0"/>
                      <a:ext cx="4520753" cy="2740795"/>
                    </a:xfrm>
                    <a:prstGeom prst="rect">
                      <a:avLst/>
                    </a:prstGeom>
                  </pic:spPr>
                </pic:pic>
              </a:graphicData>
            </a:graphic>
          </wp:inline>
        </w:drawing>
      </w:r>
    </w:p>
    <w:p w:rsidR="000574BE" w:rsidRPr="00900FFB" w:rsidRDefault="000574BE" w:rsidP="00D23C8A">
      <w:pPr>
        <w:spacing w:after="60" w:line="280" w:lineRule="exact"/>
        <w:rPr>
          <w:rFonts w:eastAsia="MS PGothic" w:cs="Arial"/>
          <w:b/>
          <w:bCs/>
          <w:iCs/>
          <w:kern w:val="24"/>
          <w:sz w:val="20"/>
          <w:szCs w:val="20"/>
          <w:u w:val="single"/>
        </w:rPr>
      </w:pPr>
      <w:r w:rsidRPr="00900FFB">
        <w:rPr>
          <w:rFonts w:eastAsia="MS PGothic" w:cs="Arial"/>
          <w:b/>
          <w:bCs/>
          <w:iCs/>
          <w:kern w:val="24"/>
          <w:sz w:val="20"/>
          <w:szCs w:val="20"/>
          <w:u w:val="single"/>
        </w:rPr>
        <w:t xml:space="preserve">KEY STATS:  </w:t>
      </w:r>
    </w:p>
    <w:p w:rsidR="000574BE" w:rsidRPr="002D54E2" w:rsidRDefault="003044D5" w:rsidP="00D23C8A">
      <w:pPr>
        <w:pStyle w:val="ListParagraph"/>
        <w:numPr>
          <w:ilvl w:val="0"/>
          <w:numId w:val="25"/>
        </w:numPr>
        <w:spacing w:after="60" w:line="280" w:lineRule="exact"/>
        <w:ind w:left="317" w:right="323" w:hanging="306"/>
        <w:rPr>
          <w:rFonts w:cs="Arial"/>
          <w:sz w:val="20"/>
          <w:szCs w:val="20"/>
        </w:rPr>
      </w:pPr>
      <w:r w:rsidRPr="002D54E2">
        <w:rPr>
          <w:rFonts w:cs="Arial"/>
          <w:sz w:val="20"/>
          <w:szCs w:val="20"/>
        </w:rPr>
        <w:t xml:space="preserve">Size </w:t>
      </w:r>
      <w:r w:rsidR="002D54E2">
        <w:rPr>
          <w:rFonts w:cs="Arial"/>
          <w:sz w:val="20"/>
          <w:szCs w:val="20"/>
        </w:rPr>
        <w:t xml:space="preserve">of Index </w:t>
      </w:r>
      <w:r w:rsidR="00A84EA8">
        <w:rPr>
          <w:rFonts w:cs="Arial"/>
          <w:sz w:val="20"/>
          <w:szCs w:val="20"/>
        </w:rPr>
        <w:t xml:space="preserve">(RHS) </w:t>
      </w:r>
      <w:r w:rsidR="002D54E2">
        <w:rPr>
          <w:rFonts w:cs="Arial"/>
          <w:sz w:val="20"/>
          <w:szCs w:val="20"/>
        </w:rPr>
        <w:t xml:space="preserve">has increased from $257bn in 2010 to $871bn in Oct 2018. </w:t>
      </w:r>
    </w:p>
    <w:p w:rsidR="000574BE" w:rsidRPr="002D54E2" w:rsidRDefault="000574BE" w:rsidP="00D23C8A">
      <w:pPr>
        <w:pStyle w:val="ListParagraph"/>
        <w:numPr>
          <w:ilvl w:val="0"/>
          <w:numId w:val="25"/>
        </w:numPr>
        <w:spacing w:after="60" w:line="280" w:lineRule="exact"/>
        <w:ind w:left="317" w:right="323" w:hanging="306"/>
        <w:rPr>
          <w:rFonts w:cs="Arial"/>
          <w:sz w:val="20"/>
          <w:szCs w:val="20"/>
        </w:rPr>
      </w:pPr>
      <w:r w:rsidRPr="002D54E2">
        <w:rPr>
          <w:rFonts w:cs="Arial"/>
          <w:sz w:val="20"/>
          <w:szCs w:val="20"/>
        </w:rPr>
        <w:t>Number of eligible issuers</w:t>
      </w:r>
      <w:r w:rsidR="00A84EA8">
        <w:rPr>
          <w:rFonts w:cs="Arial"/>
          <w:sz w:val="20"/>
          <w:szCs w:val="20"/>
        </w:rPr>
        <w:t xml:space="preserve"> (LHS)</w:t>
      </w:r>
      <w:r w:rsidRPr="002D54E2">
        <w:rPr>
          <w:rFonts w:cs="Arial"/>
          <w:sz w:val="20"/>
          <w:szCs w:val="20"/>
        </w:rPr>
        <w:t xml:space="preserve"> in </w:t>
      </w:r>
      <w:r w:rsidR="00A84EA8">
        <w:rPr>
          <w:rFonts w:cs="Arial"/>
          <w:sz w:val="20"/>
          <w:szCs w:val="20"/>
        </w:rPr>
        <w:t>the i</w:t>
      </w:r>
      <w:r w:rsidRPr="002D54E2">
        <w:rPr>
          <w:rFonts w:cs="Arial"/>
          <w:sz w:val="20"/>
          <w:szCs w:val="20"/>
        </w:rPr>
        <w:t>ndex</w:t>
      </w:r>
      <w:r w:rsidR="009F4598">
        <w:rPr>
          <w:rFonts w:cs="Arial"/>
          <w:sz w:val="20"/>
          <w:szCs w:val="20"/>
        </w:rPr>
        <w:t xml:space="preserve"> has </w:t>
      </w:r>
      <w:r w:rsidR="003044D5" w:rsidRPr="002D54E2">
        <w:rPr>
          <w:rFonts w:cs="Arial"/>
          <w:sz w:val="20"/>
          <w:szCs w:val="20"/>
        </w:rPr>
        <w:t>increased from 208</w:t>
      </w:r>
      <w:r w:rsidR="00A84EA8">
        <w:rPr>
          <w:rFonts w:cs="Arial"/>
          <w:sz w:val="20"/>
          <w:szCs w:val="20"/>
        </w:rPr>
        <w:t xml:space="preserve"> issuers</w:t>
      </w:r>
      <w:r w:rsidR="003044D5" w:rsidRPr="002D54E2">
        <w:rPr>
          <w:rFonts w:cs="Arial"/>
          <w:sz w:val="20"/>
          <w:szCs w:val="20"/>
        </w:rPr>
        <w:t xml:space="preserve"> </w:t>
      </w:r>
      <w:r w:rsidR="009F4598">
        <w:rPr>
          <w:rFonts w:cs="Arial"/>
          <w:sz w:val="20"/>
          <w:szCs w:val="20"/>
        </w:rPr>
        <w:t xml:space="preserve">in 2010 </w:t>
      </w:r>
      <w:r w:rsidR="002D54E2">
        <w:rPr>
          <w:rFonts w:cs="Arial"/>
          <w:sz w:val="20"/>
          <w:szCs w:val="20"/>
        </w:rPr>
        <w:t xml:space="preserve">to 537 in Oct </w:t>
      </w:r>
      <w:r w:rsidR="00052DE0">
        <w:rPr>
          <w:rFonts w:cs="Arial"/>
          <w:sz w:val="20"/>
          <w:szCs w:val="20"/>
        </w:rPr>
        <w:t>2018.</w:t>
      </w:r>
    </w:p>
    <w:p w:rsidR="000574BE" w:rsidRPr="00900FFB" w:rsidRDefault="000574BE" w:rsidP="00D23C8A">
      <w:pPr>
        <w:spacing w:after="60" w:line="280" w:lineRule="exact"/>
        <w:rPr>
          <w:rFonts w:cs="Arial"/>
          <w:bCs/>
          <w:color w:val="000000" w:themeColor="text1"/>
          <w:kern w:val="32"/>
          <w:sz w:val="16"/>
          <w:szCs w:val="16"/>
        </w:rPr>
      </w:pPr>
      <w:r w:rsidRPr="00900FFB">
        <w:rPr>
          <w:rFonts w:cs="Arial"/>
          <w:bCs/>
          <w:color w:val="000000" w:themeColor="text1"/>
          <w:kern w:val="32"/>
          <w:sz w:val="16"/>
          <w:szCs w:val="16"/>
        </w:rPr>
        <w:t xml:space="preserve">Source: First State Investments and JP Morgan. Data as </w:t>
      </w:r>
      <w:r w:rsidR="00BF7748">
        <w:rPr>
          <w:rFonts w:cs="Arial"/>
          <w:bCs/>
          <w:color w:val="000000" w:themeColor="text1"/>
          <w:kern w:val="32"/>
          <w:sz w:val="16"/>
          <w:szCs w:val="16"/>
        </w:rPr>
        <w:t>of 31 October 2018</w:t>
      </w:r>
    </w:p>
    <w:p w:rsidR="000574BE" w:rsidRPr="00900FFB" w:rsidRDefault="000574BE" w:rsidP="000574BE">
      <w:pPr>
        <w:spacing w:after="120" w:line="288" w:lineRule="auto"/>
        <w:rPr>
          <w:rFonts w:cs="Arial"/>
          <w:bCs/>
          <w:color w:val="000000" w:themeColor="text1"/>
          <w:kern w:val="32"/>
          <w:sz w:val="16"/>
          <w:szCs w:val="16"/>
        </w:rPr>
      </w:pPr>
    </w:p>
    <w:p w:rsidR="00FE7302" w:rsidRPr="00900FFB" w:rsidRDefault="00273E50" w:rsidP="00D23C8A">
      <w:pPr>
        <w:pageBreakBefore/>
        <w:spacing w:after="60" w:line="280" w:lineRule="exact"/>
        <w:ind w:right="317"/>
        <w:jc w:val="both"/>
        <w:rPr>
          <w:rFonts w:cs="Arial"/>
          <w:b/>
          <w:color w:val="000000" w:themeColor="text1"/>
          <w:sz w:val="20"/>
          <w:szCs w:val="20"/>
        </w:rPr>
      </w:pPr>
      <w:r w:rsidRPr="00900FFB">
        <w:rPr>
          <w:rFonts w:cs="Arial"/>
          <w:b/>
          <w:color w:val="000000" w:themeColor="text1"/>
          <w:sz w:val="20"/>
          <w:szCs w:val="20"/>
        </w:rPr>
        <w:lastRenderedPageBreak/>
        <w:t xml:space="preserve">Low </w:t>
      </w:r>
      <w:r w:rsidR="00FE7302" w:rsidRPr="00900FFB">
        <w:rPr>
          <w:rFonts w:cs="Arial"/>
          <w:b/>
          <w:color w:val="000000" w:themeColor="text1"/>
          <w:sz w:val="20"/>
          <w:szCs w:val="20"/>
        </w:rPr>
        <w:t>Credit Quality</w:t>
      </w:r>
    </w:p>
    <w:p w:rsidR="00FE7302" w:rsidRDefault="00FE7302" w:rsidP="003044D5">
      <w:pPr>
        <w:spacing w:after="60" w:line="280" w:lineRule="exact"/>
        <w:ind w:right="317"/>
        <w:jc w:val="both"/>
        <w:rPr>
          <w:rFonts w:cs="Arial"/>
          <w:color w:val="000000" w:themeColor="text1"/>
          <w:sz w:val="20"/>
          <w:szCs w:val="20"/>
        </w:rPr>
      </w:pPr>
      <w:r w:rsidRPr="00900FFB">
        <w:rPr>
          <w:rFonts w:cs="Arial"/>
          <w:color w:val="000000" w:themeColor="text1"/>
          <w:sz w:val="20"/>
          <w:szCs w:val="20"/>
        </w:rPr>
        <w:t xml:space="preserve">The growth in issuance </w:t>
      </w:r>
      <w:r w:rsidR="008825CF" w:rsidRPr="00900FFB">
        <w:rPr>
          <w:rFonts w:cs="Arial"/>
          <w:color w:val="000000" w:themeColor="text1"/>
          <w:sz w:val="20"/>
          <w:szCs w:val="20"/>
        </w:rPr>
        <w:t xml:space="preserve">in Asian USD credit in general </w:t>
      </w:r>
      <w:r w:rsidRPr="00900FFB">
        <w:rPr>
          <w:rFonts w:cs="Arial"/>
          <w:color w:val="000000" w:themeColor="text1"/>
          <w:sz w:val="20"/>
          <w:szCs w:val="20"/>
        </w:rPr>
        <w:t xml:space="preserve">has been dominated by Investment Grade Corporates.  In 2015 approximately 80% of </w:t>
      </w:r>
      <w:r w:rsidR="001F4992" w:rsidRPr="00900FFB">
        <w:rPr>
          <w:rFonts w:cs="Arial"/>
          <w:color w:val="000000" w:themeColor="text1"/>
          <w:sz w:val="20"/>
          <w:szCs w:val="20"/>
        </w:rPr>
        <w:t xml:space="preserve">the new </w:t>
      </w:r>
      <w:r w:rsidRPr="00900FFB">
        <w:rPr>
          <w:rFonts w:cs="Arial"/>
          <w:color w:val="000000" w:themeColor="text1"/>
          <w:sz w:val="20"/>
          <w:szCs w:val="20"/>
        </w:rPr>
        <w:t xml:space="preserve">issuance </w:t>
      </w:r>
      <w:r w:rsidR="001F4992" w:rsidRPr="00900FFB">
        <w:rPr>
          <w:rFonts w:cs="Arial"/>
          <w:color w:val="000000" w:themeColor="text1"/>
          <w:sz w:val="20"/>
          <w:szCs w:val="20"/>
        </w:rPr>
        <w:t xml:space="preserve">that </w:t>
      </w:r>
      <w:r w:rsidRPr="00900FFB">
        <w:rPr>
          <w:rFonts w:cs="Arial"/>
          <w:color w:val="000000" w:themeColor="text1"/>
          <w:sz w:val="20"/>
          <w:szCs w:val="20"/>
        </w:rPr>
        <w:t xml:space="preserve">came </w:t>
      </w:r>
      <w:r w:rsidR="001F4992" w:rsidRPr="00900FFB">
        <w:rPr>
          <w:rFonts w:cs="Arial"/>
          <w:color w:val="000000" w:themeColor="text1"/>
          <w:sz w:val="20"/>
          <w:szCs w:val="20"/>
        </w:rPr>
        <w:t xml:space="preserve">to market came </w:t>
      </w:r>
      <w:r w:rsidRPr="00900FFB">
        <w:rPr>
          <w:rFonts w:cs="Arial"/>
          <w:color w:val="000000" w:themeColor="text1"/>
          <w:sz w:val="20"/>
          <w:szCs w:val="20"/>
        </w:rPr>
        <w:t xml:space="preserve">from Investment Grade Corporates (Chart 2).  </w:t>
      </w:r>
    </w:p>
    <w:p w:rsidR="00BF7748" w:rsidRDefault="00BF7748" w:rsidP="00BF7748">
      <w:pPr>
        <w:pStyle w:val="NormalWeb"/>
        <w:spacing w:before="0" w:beforeAutospacing="0" w:after="0" w:afterAutospacing="0"/>
        <w:jc w:val="center"/>
        <w:rPr>
          <w:lang w:val="en-US"/>
        </w:rPr>
      </w:pPr>
      <w:r>
        <w:rPr>
          <w:rFonts w:ascii="Arial" w:eastAsiaTheme="minorEastAsia" w:hAnsi="Arial" w:cs="Arial"/>
          <w:b/>
          <w:bCs/>
          <w:color w:val="000000"/>
          <w:kern w:val="24"/>
          <w:sz w:val="22"/>
          <w:szCs w:val="22"/>
        </w:rPr>
        <w:t>Chart 2: JP Morgan Asia Credit Index</w:t>
      </w:r>
    </w:p>
    <w:p w:rsidR="00BF7748" w:rsidRPr="00BF7748" w:rsidRDefault="00BF7748" w:rsidP="00BF7748">
      <w:pPr>
        <w:pStyle w:val="NormalWeb"/>
        <w:spacing w:before="0" w:beforeAutospacing="0" w:after="0" w:afterAutospacing="0"/>
        <w:jc w:val="center"/>
      </w:pPr>
      <w:r>
        <w:rPr>
          <w:rFonts w:ascii="Arial" w:eastAsiaTheme="minorEastAsia" w:hAnsi="Arial" w:cs="Arial"/>
          <w:b/>
          <w:bCs/>
          <w:color w:val="000000"/>
          <w:kern w:val="24"/>
          <w:sz w:val="22"/>
          <w:szCs w:val="22"/>
        </w:rPr>
        <w:t>Ratings Diversification dominated by Investment Grade</w:t>
      </w:r>
    </w:p>
    <w:p w:rsidR="003044D5" w:rsidRPr="00900FFB" w:rsidRDefault="00BF7748" w:rsidP="00BF7748">
      <w:pPr>
        <w:spacing w:after="120" w:line="288" w:lineRule="auto"/>
        <w:ind w:right="323"/>
        <w:jc w:val="center"/>
        <w:rPr>
          <w:rFonts w:cs="Arial"/>
          <w:color w:val="000000" w:themeColor="text1"/>
          <w:sz w:val="20"/>
          <w:szCs w:val="20"/>
        </w:rPr>
      </w:pPr>
      <w:r>
        <w:rPr>
          <w:noProof/>
          <w:lang w:val="en-US" w:eastAsia="zh-TW"/>
        </w:rPr>
        <w:drawing>
          <wp:inline distT="0" distB="0" distL="0" distR="0" wp14:anchorId="0B6FBF35" wp14:editId="59071B6F">
            <wp:extent cx="4114800" cy="3179393"/>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5"/>
                    <a:stretch>
                      <a:fillRect/>
                    </a:stretch>
                  </pic:blipFill>
                  <pic:spPr>
                    <a:xfrm>
                      <a:off x="0" y="0"/>
                      <a:ext cx="4114800" cy="3179393"/>
                    </a:xfrm>
                    <a:prstGeom prst="rect">
                      <a:avLst/>
                    </a:prstGeom>
                  </pic:spPr>
                </pic:pic>
              </a:graphicData>
            </a:graphic>
          </wp:inline>
        </w:drawing>
      </w:r>
    </w:p>
    <w:p w:rsidR="00725528" w:rsidRPr="00900FFB" w:rsidRDefault="008D41F3" w:rsidP="000574BE">
      <w:pPr>
        <w:spacing w:after="120" w:line="288" w:lineRule="auto"/>
        <w:rPr>
          <w:rFonts w:cs="Arial"/>
          <w:bCs/>
          <w:color w:val="000000" w:themeColor="text1"/>
          <w:kern w:val="32"/>
          <w:sz w:val="16"/>
          <w:szCs w:val="16"/>
        </w:rPr>
      </w:pPr>
      <w:r w:rsidRPr="00900FFB">
        <w:rPr>
          <w:rFonts w:cs="Arial"/>
          <w:bCs/>
          <w:color w:val="000000" w:themeColor="text1"/>
          <w:kern w:val="32"/>
          <w:sz w:val="16"/>
          <w:szCs w:val="16"/>
        </w:rPr>
        <w:t>Source: First State Investments</w:t>
      </w:r>
      <w:r w:rsidR="009F1AAB" w:rsidRPr="00900FFB">
        <w:rPr>
          <w:rFonts w:cs="Arial"/>
          <w:bCs/>
          <w:color w:val="000000" w:themeColor="text1"/>
          <w:kern w:val="32"/>
          <w:sz w:val="16"/>
          <w:szCs w:val="16"/>
        </w:rPr>
        <w:t xml:space="preserve"> and JP Morgan.</w:t>
      </w:r>
      <w:r w:rsidRPr="00900FFB">
        <w:rPr>
          <w:rFonts w:cs="Arial"/>
          <w:bCs/>
          <w:color w:val="000000" w:themeColor="text1"/>
          <w:kern w:val="32"/>
          <w:sz w:val="16"/>
          <w:szCs w:val="16"/>
        </w:rPr>
        <w:t xml:space="preserve"> </w:t>
      </w:r>
      <w:r w:rsidR="006A4F4E" w:rsidRPr="00900FFB">
        <w:rPr>
          <w:rFonts w:cs="Arial"/>
          <w:bCs/>
          <w:color w:val="000000" w:themeColor="text1"/>
          <w:kern w:val="32"/>
          <w:sz w:val="16"/>
          <w:szCs w:val="16"/>
        </w:rPr>
        <w:t xml:space="preserve">Data as of </w:t>
      </w:r>
      <w:r w:rsidR="00BF7748">
        <w:rPr>
          <w:rFonts w:cs="Arial"/>
          <w:bCs/>
          <w:color w:val="000000" w:themeColor="text1"/>
          <w:kern w:val="32"/>
          <w:sz w:val="16"/>
          <w:szCs w:val="16"/>
        </w:rPr>
        <w:t>31 October 2018</w:t>
      </w:r>
    </w:p>
    <w:p w:rsidR="006A2E89" w:rsidRDefault="006A2E89" w:rsidP="00D23C8A">
      <w:pPr>
        <w:spacing w:after="60" w:line="280" w:lineRule="exact"/>
        <w:ind w:right="317"/>
        <w:jc w:val="both"/>
        <w:rPr>
          <w:rFonts w:cs="Arial"/>
          <w:b/>
          <w:color w:val="000000" w:themeColor="text1"/>
          <w:sz w:val="20"/>
          <w:szCs w:val="20"/>
        </w:rPr>
      </w:pPr>
    </w:p>
    <w:p w:rsidR="008825CF" w:rsidRPr="00900FFB" w:rsidRDefault="00273E50" w:rsidP="00D23C8A">
      <w:pPr>
        <w:spacing w:after="60" w:line="280" w:lineRule="exact"/>
        <w:ind w:right="317"/>
        <w:jc w:val="both"/>
        <w:rPr>
          <w:rFonts w:cs="Arial"/>
          <w:b/>
          <w:color w:val="000000" w:themeColor="text1"/>
          <w:sz w:val="20"/>
          <w:szCs w:val="20"/>
        </w:rPr>
      </w:pPr>
      <w:r w:rsidRPr="00900FFB">
        <w:rPr>
          <w:rFonts w:cs="Arial"/>
          <w:b/>
          <w:color w:val="000000" w:themeColor="text1"/>
          <w:sz w:val="20"/>
          <w:szCs w:val="20"/>
        </w:rPr>
        <w:t>Excessive</w:t>
      </w:r>
      <w:r w:rsidR="00FE7302" w:rsidRPr="00900FFB">
        <w:rPr>
          <w:rFonts w:cs="Arial"/>
          <w:b/>
          <w:color w:val="000000" w:themeColor="text1"/>
          <w:sz w:val="20"/>
          <w:szCs w:val="20"/>
        </w:rPr>
        <w:t xml:space="preserve"> Volatility</w:t>
      </w:r>
    </w:p>
    <w:p w:rsidR="00BF7748" w:rsidRPr="00BF7748" w:rsidRDefault="00FE7302" w:rsidP="00BF7748">
      <w:pPr>
        <w:spacing w:after="60" w:line="280" w:lineRule="exact"/>
        <w:ind w:right="317"/>
        <w:jc w:val="both"/>
        <w:rPr>
          <w:rFonts w:cs="Arial"/>
          <w:color w:val="000000" w:themeColor="text1"/>
          <w:sz w:val="20"/>
          <w:szCs w:val="20"/>
        </w:rPr>
      </w:pPr>
      <w:r w:rsidRPr="00900FFB">
        <w:rPr>
          <w:rFonts w:cs="Arial"/>
          <w:color w:val="000000" w:themeColor="text1"/>
          <w:sz w:val="20"/>
          <w:szCs w:val="20"/>
        </w:rPr>
        <w:t xml:space="preserve">Asia Fixed Income had historically endured volatility greater than other investment grade markets.  With the growth in the market creating </w:t>
      </w:r>
      <w:r w:rsidR="00AC7032">
        <w:rPr>
          <w:rFonts w:cs="Arial"/>
          <w:color w:val="000000" w:themeColor="text1"/>
          <w:sz w:val="20"/>
          <w:szCs w:val="20"/>
        </w:rPr>
        <w:t xml:space="preserve">a deeper and </w:t>
      </w:r>
      <w:r w:rsidRPr="00900FFB">
        <w:rPr>
          <w:rFonts w:cs="Arial"/>
          <w:color w:val="000000" w:themeColor="text1"/>
          <w:sz w:val="20"/>
          <w:szCs w:val="20"/>
        </w:rPr>
        <w:t xml:space="preserve">more diversified </w:t>
      </w:r>
      <w:r w:rsidR="00AC7032">
        <w:rPr>
          <w:rFonts w:cs="Arial"/>
          <w:color w:val="000000" w:themeColor="text1"/>
          <w:sz w:val="20"/>
          <w:szCs w:val="20"/>
        </w:rPr>
        <w:t>universe, Asia</w:t>
      </w:r>
      <w:r w:rsidRPr="00900FFB">
        <w:rPr>
          <w:rFonts w:cs="Arial"/>
          <w:color w:val="000000" w:themeColor="text1"/>
          <w:sz w:val="20"/>
          <w:szCs w:val="20"/>
        </w:rPr>
        <w:t xml:space="preserve"> volatility has begun to recede.  However our research has pointed to an additional point that may contribute to the decreased volatility.  </w:t>
      </w:r>
      <w:r w:rsidR="003044D5">
        <w:rPr>
          <w:rFonts w:cs="Arial"/>
          <w:color w:val="000000" w:themeColor="text1"/>
          <w:sz w:val="20"/>
          <w:szCs w:val="20"/>
        </w:rPr>
        <w:t>Chart 3</w:t>
      </w:r>
      <w:r w:rsidR="00C63275" w:rsidRPr="00900FFB">
        <w:rPr>
          <w:rFonts w:cs="Arial"/>
          <w:color w:val="000000" w:themeColor="text1"/>
          <w:sz w:val="20"/>
          <w:szCs w:val="20"/>
        </w:rPr>
        <w:t xml:space="preserve"> compares annualized 12 month rolling volatility of Asian Investment Grade to US Investment Grade, overlaid with the total market capitalisation (RHS) of Asia Investment Grade.  From 2009 (</w:t>
      </w:r>
      <w:proofErr w:type="spellStart"/>
      <w:r w:rsidR="00C63275" w:rsidRPr="00900FFB">
        <w:rPr>
          <w:rFonts w:cs="Arial"/>
          <w:color w:val="000000" w:themeColor="text1"/>
          <w:sz w:val="20"/>
          <w:szCs w:val="20"/>
        </w:rPr>
        <w:t>i.e</w:t>
      </w:r>
      <w:proofErr w:type="spellEnd"/>
      <w:r w:rsidR="00C63275" w:rsidRPr="00900FFB">
        <w:rPr>
          <w:rFonts w:cs="Arial"/>
          <w:color w:val="000000" w:themeColor="text1"/>
          <w:sz w:val="20"/>
          <w:szCs w:val="20"/>
        </w:rPr>
        <w:t xml:space="preserve"> post crisis) Asia Investment Grade has exhibited more volatility than US Investment Grade.  Interestingly though from the end of 2014 until today, Asia Fixed Income volatility has largely mirrored that of US Investment Grade.  </w:t>
      </w:r>
    </w:p>
    <w:p w:rsidR="00BF7748" w:rsidRDefault="00BF7748" w:rsidP="00BF7748">
      <w:pPr>
        <w:pStyle w:val="NormalWeb"/>
        <w:spacing w:before="0" w:beforeAutospacing="0" w:after="0" w:afterAutospacing="0"/>
        <w:jc w:val="center"/>
        <w:rPr>
          <w:rFonts w:ascii="Arial" w:eastAsiaTheme="minorEastAsia" w:hAnsi="Arial" w:cs="Arial"/>
          <w:b/>
          <w:bCs/>
          <w:color w:val="000000"/>
          <w:kern w:val="24"/>
          <w:sz w:val="22"/>
          <w:szCs w:val="22"/>
        </w:rPr>
      </w:pPr>
      <w:r>
        <w:rPr>
          <w:rFonts w:ascii="Arial" w:eastAsiaTheme="minorEastAsia" w:hAnsi="Arial" w:cs="Arial"/>
          <w:b/>
          <w:bCs/>
          <w:color w:val="000000"/>
          <w:kern w:val="24"/>
          <w:sz w:val="22"/>
          <w:szCs w:val="22"/>
        </w:rPr>
        <w:t>Chart 3: Annualised volatility of total returns</w:t>
      </w:r>
    </w:p>
    <w:p w:rsidR="00AC7032" w:rsidRDefault="00A84EA8" w:rsidP="00BF7748">
      <w:pPr>
        <w:pStyle w:val="NormalWeb"/>
        <w:spacing w:before="0" w:beforeAutospacing="0" w:after="0" w:afterAutospacing="0"/>
        <w:jc w:val="center"/>
        <w:rPr>
          <w:lang w:val="en-US"/>
        </w:rPr>
      </w:pPr>
      <w:r w:rsidRPr="00A84EA8">
        <w:rPr>
          <w:noProof/>
          <w:lang w:val="en-US" w:eastAsia="zh-TW"/>
        </w:rPr>
        <w:drawing>
          <wp:inline distT="0" distB="0" distL="0" distR="0">
            <wp:extent cx="6696710" cy="201934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96710" cy="2019345"/>
                    </a:xfrm>
                    <a:prstGeom prst="rect">
                      <a:avLst/>
                    </a:prstGeom>
                    <a:noFill/>
                    <a:ln>
                      <a:noFill/>
                    </a:ln>
                  </pic:spPr>
                </pic:pic>
              </a:graphicData>
            </a:graphic>
          </wp:inline>
        </w:drawing>
      </w:r>
    </w:p>
    <w:p w:rsidR="00BF7748" w:rsidRDefault="00BF7748" w:rsidP="000574BE">
      <w:pPr>
        <w:spacing w:after="120" w:line="288" w:lineRule="auto"/>
        <w:ind w:right="-9"/>
        <w:jc w:val="center"/>
        <w:rPr>
          <w:rFonts w:cs="Arial"/>
          <w:noProof/>
          <w:lang w:val="en-US"/>
        </w:rPr>
      </w:pPr>
    </w:p>
    <w:p w:rsidR="00AC7032" w:rsidRDefault="00AC7032" w:rsidP="00AC7032">
      <w:pPr>
        <w:spacing w:after="120" w:line="288" w:lineRule="auto"/>
        <w:rPr>
          <w:rFonts w:cs="Arial"/>
          <w:bCs/>
          <w:color w:val="000000" w:themeColor="text1"/>
          <w:kern w:val="32"/>
          <w:sz w:val="16"/>
          <w:szCs w:val="16"/>
        </w:rPr>
      </w:pPr>
      <w:r w:rsidRPr="00900FFB">
        <w:rPr>
          <w:rFonts w:cs="Arial"/>
          <w:bCs/>
          <w:color w:val="000000" w:themeColor="text1"/>
          <w:kern w:val="32"/>
          <w:sz w:val="16"/>
          <w:szCs w:val="16"/>
        </w:rPr>
        <w:t xml:space="preserve">Source: First State Investments, JP Morgan, and </w:t>
      </w:r>
      <w:r>
        <w:rPr>
          <w:rFonts w:cs="Arial"/>
          <w:bCs/>
          <w:color w:val="000000" w:themeColor="text1"/>
          <w:kern w:val="32"/>
          <w:sz w:val="16"/>
          <w:szCs w:val="16"/>
        </w:rPr>
        <w:t>Bloomberg Barclays</w:t>
      </w:r>
      <w:r w:rsidRPr="00900FFB">
        <w:rPr>
          <w:rFonts w:cs="Arial"/>
          <w:bCs/>
          <w:color w:val="000000" w:themeColor="text1"/>
          <w:kern w:val="32"/>
          <w:sz w:val="16"/>
          <w:szCs w:val="16"/>
        </w:rPr>
        <w:t xml:space="preserve">. Data as of </w:t>
      </w:r>
      <w:r>
        <w:rPr>
          <w:rFonts w:cs="Arial"/>
          <w:bCs/>
          <w:color w:val="000000" w:themeColor="text1"/>
          <w:kern w:val="32"/>
          <w:sz w:val="16"/>
          <w:szCs w:val="16"/>
        </w:rPr>
        <w:t>31 October 2018</w:t>
      </w:r>
    </w:p>
    <w:p w:rsidR="00C63275" w:rsidRPr="00AC7032" w:rsidRDefault="00C63275" w:rsidP="00AC7032">
      <w:pPr>
        <w:spacing w:after="120" w:line="288" w:lineRule="auto"/>
        <w:rPr>
          <w:rFonts w:cs="Arial"/>
          <w:bCs/>
          <w:color w:val="000000" w:themeColor="text1"/>
          <w:kern w:val="32"/>
          <w:sz w:val="16"/>
          <w:szCs w:val="16"/>
        </w:rPr>
      </w:pPr>
      <w:r w:rsidRPr="00900FFB">
        <w:rPr>
          <w:rFonts w:cs="Arial"/>
          <w:color w:val="000000" w:themeColor="text1"/>
          <w:sz w:val="20"/>
          <w:szCs w:val="20"/>
        </w:rPr>
        <w:lastRenderedPageBreak/>
        <w:t xml:space="preserve">A recent study by KPMG looked at where the Asia Fixed Income Assets reside.  Over the last five years the percentage of Fixed Income assets held within Asia has continued to grow, rather than being held in the US or Europe (Chart 4).   We believe that this is a contributing factor to the reduction in volatility as Asian investors would be far more aware of the issues with respect Asian issuers, than foreigners.  </w:t>
      </w:r>
    </w:p>
    <w:p w:rsidR="00BF7748" w:rsidRPr="00900FFB" w:rsidRDefault="00BF7748" w:rsidP="00D23C8A">
      <w:pPr>
        <w:spacing w:after="60" w:line="280" w:lineRule="exact"/>
        <w:ind w:right="317"/>
        <w:jc w:val="both"/>
        <w:rPr>
          <w:rFonts w:cs="Arial"/>
          <w:color w:val="000000" w:themeColor="text1"/>
          <w:sz w:val="20"/>
          <w:szCs w:val="20"/>
        </w:rPr>
      </w:pPr>
    </w:p>
    <w:p w:rsidR="00347B14" w:rsidRDefault="003838F4" w:rsidP="00BF7748">
      <w:pPr>
        <w:pStyle w:val="NormalWeb"/>
        <w:spacing w:before="0" w:beforeAutospacing="0" w:after="0" w:afterAutospacing="0"/>
        <w:jc w:val="center"/>
        <w:rPr>
          <w:lang w:val="en-US"/>
        </w:rPr>
      </w:pPr>
      <w:r w:rsidRPr="003838F4">
        <w:rPr>
          <w:noProof/>
          <w:lang w:val="en-US"/>
        </w:rPr>
        <w:t xml:space="preserve"> </w:t>
      </w:r>
      <w:r w:rsidR="00BF7748">
        <w:rPr>
          <w:rFonts w:ascii="Arial" w:eastAsia="MS Gothic" w:hAnsi="Arial" w:cs="Arial"/>
          <w:b/>
          <w:bCs/>
          <w:color w:val="3C3C3C"/>
          <w:kern w:val="24"/>
          <w:sz w:val="22"/>
          <w:szCs w:val="22"/>
        </w:rPr>
        <w:t>Chart 4: New issue investor allocation by region</w:t>
      </w:r>
    </w:p>
    <w:p w:rsidR="00347B14" w:rsidRPr="00347B14" w:rsidRDefault="00F13700" w:rsidP="00347B14">
      <w:pPr>
        <w:spacing w:after="120" w:line="288" w:lineRule="auto"/>
        <w:ind w:right="323"/>
        <w:jc w:val="center"/>
        <w:rPr>
          <w:noProof/>
          <w:lang w:val="en-US"/>
        </w:rPr>
      </w:pPr>
      <w:r w:rsidRPr="00F13700">
        <w:rPr>
          <w:noProof/>
          <w:lang w:val="en-US" w:eastAsia="zh-TW"/>
        </w:rPr>
        <w:drawing>
          <wp:inline distT="0" distB="0" distL="0" distR="0">
            <wp:extent cx="5158740" cy="18376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8740" cy="1837690"/>
                    </a:xfrm>
                    <a:prstGeom prst="rect">
                      <a:avLst/>
                    </a:prstGeom>
                    <a:noFill/>
                    <a:ln>
                      <a:noFill/>
                    </a:ln>
                  </pic:spPr>
                </pic:pic>
              </a:graphicData>
            </a:graphic>
          </wp:inline>
        </w:drawing>
      </w:r>
    </w:p>
    <w:p w:rsidR="00725528" w:rsidRPr="00900FFB" w:rsidRDefault="008D41F3" w:rsidP="00073D87">
      <w:pPr>
        <w:spacing w:after="120" w:line="288" w:lineRule="auto"/>
        <w:rPr>
          <w:rFonts w:cs="Arial"/>
          <w:bCs/>
          <w:color w:val="000000" w:themeColor="text1"/>
          <w:kern w:val="32"/>
          <w:sz w:val="16"/>
          <w:szCs w:val="16"/>
        </w:rPr>
      </w:pPr>
      <w:r w:rsidRPr="00900FFB">
        <w:rPr>
          <w:rFonts w:cs="Arial"/>
          <w:bCs/>
          <w:color w:val="000000" w:themeColor="text1"/>
          <w:kern w:val="32"/>
          <w:sz w:val="16"/>
          <w:szCs w:val="16"/>
        </w:rPr>
        <w:t>Source: First State Investments</w:t>
      </w:r>
      <w:r w:rsidR="00347B14">
        <w:rPr>
          <w:rFonts w:cs="Arial"/>
          <w:bCs/>
          <w:color w:val="000000" w:themeColor="text1"/>
          <w:kern w:val="32"/>
          <w:sz w:val="16"/>
          <w:szCs w:val="16"/>
        </w:rPr>
        <w:t xml:space="preserve"> and </w:t>
      </w:r>
      <w:proofErr w:type="spellStart"/>
      <w:r w:rsidR="00347B14">
        <w:rPr>
          <w:rFonts w:cs="Arial"/>
          <w:bCs/>
          <w:color w:val="000000" w:themeColor="text1"/>
          <w:kern w:val="32"/>
          <w:sz w:val="16"/>
          <w:szCs w:val="16"/>
        </w:rPr>
        <w:t>BoAML</w:t>
      </w:r>
      <w:proofErr w:type="spellEnd"/>
      <w:r w:rsidR="006A4F4E" w:rsidRPr="00900FFB">
        <w:rPr>
          <w:rFonts w:cs="Arial"/>
          <w:bCs/>
          <w:color w:val="000000" w:themeColor="text1"/>
          <w:kern w:val="32"/>
          <w:sz w:val="16"/>
          <w:szCs w:val="16"/>
        </w:rPr>
        <w:t>. Data as of</w:t>
      </w:r>
      <w:r w:rsidRPr="00900FFB">
        <w:rPr>
          <w:rFonts w:cs="Arial"/>
          <w:bCs/>
          <w:color w:val="000000" w:themeColor="text1"/>
          <w:kern w:val="32"/>
          <w:sz w:val="16"/>
          <w:szCs w:val="16"/>
        </w:rPr>
        <w:t xml:space="preserve"> </w:t>
      </w:r>
      <w:r w:rsidR="00BF7748">
        <w:rPr>
          <w:rFonts w:cs="Arial"/>
          <w:bCs/>
          <w:color w:val="000000" w:themeColor="text1"/>
          <w:kern w:val="32"/>
          <w:sz w:val="16"/>
          <w:szCs w:val="16"/>
        </w:rPr>
        <w:t>31 October 2018</w:t>
      </w:r>
    </w:p>
    <w:p w:rsidR="00347B14" w:rsidRPr="00900FFB" w:rsidRDefault="00FE7302" w:rsidP="00D23C8A">
      <w:pPr>
        <w:spacing w:after="60" w:line="280" w:lineRule="exact"/>
        <w:ind w:right="317"/>
        <w:jc w:val="both"/>
        <w:rPr>
          <w:rFonts w:cs="Arial"/>
          <w:color w:val="000000" w:themeColor="text1"/>
          <w:sz w:val="20"/>
          <w:szCs w:val="20"/>
        </w:rPr>
      </w:pPr>
      <w:r w:rsidRPr="00900FFB">
        <w:rPr>
          <w:rFonts w:cs="Arial"/>
          <w:color w:val="000000" w:themeColor="text1"/>
          <w:sz w:val="20"/>
          <w:szCs w:val="20"/>
        </w:rPr>
        <w:t xml:space="preserve">As discussed we attribute this to market growth and greater participation by Asian based investors.  </w:t>
      </w:r>
    </w:p>
    <w:p w:rsidR="00322414" w:rsidRPr="00900FFB" w:rsidRDefault="00322414" w:rsidP="00D23C8A">
      <w:pPr>
        <w:spacing w:after="60" w:line="280" w:lineRule="exact"/>
        <w:ind w:right="317"/>
        <w:jc w:val="both"/>
        <w:rPr>
          <w:rFonts w:cs="Arial"/>
          <w:b/>
          <w:color w:val="000000" w:themeColor="text1"/>
          <w:sz w:val="20"/>
          <w:szCs w:val="20"/>
        </w:rPr>
      </w:pPr>
      <w:r w:rsidRPr="00900FFB">
        <w:rPr>
          <w:rFonts w:cs="Arial"/>
          <w:b/>
          <w:color w:val="000000" w:themeColor="text1"/>
          <w:sz w:val="20"/>
          <w:szCs w:val="20"/>
        </w:rPr>
        <w:t xml:space="preserve">Inadequate Returns </w:t>
      </w:r>
    </w:p>
    <w:p w:rsidR="008A6C64" w:rsidRDefault="00322414" w:rsidP="00313438">
      <w:pPr>
        <w:spacing w:after="60" w:line="280" w:lineRule="exact"/>
        <w:ind w:right="317"/>
        <w:jc w:val="both"/>
        <w:rPr>
          <w:rFonts w:cs="Arial"/>
          <w:color w:val="000000" w:themeColor="text1"/>
          <w:sz w:val="20"/>
          <w:szCs w:val="20"/>
        </w:rPr>
      </w:pPr>
      <w:r w:rsidRPr="00900FFB">
        <w:rPr>
          <w:rFonts w:cs="Arial"/>
          <w:color w:val="000000" w:themeColor="text1"/>
          <w:sz w:val="20"/>
          <w:szCs w:val="20"/>
        </w:rPr>
        <w:t>Asia Fixed Income has delivered consistent returns year on year.  Since inception</w:t>
      </w:r>
      <w:r w:rsidR="00501B13" w:rsidRPr="00900FFB">
        <w:rPr>
          <w:rFonts w:cs="Arial"/>
          <w:color w:val="000000" w:themeColor="text1"/>
          <w:sz w:val="20"/>
          <w:szCs w:val="20"/>
        </w:rPr>
        <w:t xml:space="preserve"> (Chart 5</w:t>
      </w:r>
      <w:r w:rsidR="00AF10EA" w:rsidRPr="00900FFB">
        <w:rPr>
          <w:rFonts w:cs="Arial"/>
          <w:color w:val="000000" w:themeColor="text1"/>
          <w:sz w:val="20"/>
          <w:szCs w:val="20"/>
        </w:rPr>
        <w:t>) the</w:t>
      </w:r>
      <w:r w:rsidRPr="00900FFB">
        <w:rPr>
          <w:rFonts w:cs="Arial"/>
          <w:color w:val="000000" w:themeColor="text1"/>
          <w:sz w:val="20"/>
          <w:szCs w:val="20"/>
        </w:rPr>
        <w:t xml:space="preserve"> JACI </w:t>
      </w:r>
      <w:r w:rsidR="00AC7032">
        <w:rPr>
          <w:rFonts w:cs="Arial"/>
          <w:color w:val="000000" w:themeColor="text1"/>
          <w:sz w:val="20"/>
          <w:szCs w:val="20"/>
        </w:rPr>
        <w:t xml:space="preserve">IG </w:t>
      </w:r>
      <w:r w:rsidR="00FB3C4E" w:rsidRPr="00900FFB">
        <w:rPr>
          <w:rFonts w:cs="Arial"/>
          <w:color w:val="000000" w:themeColor="text1"/>
          <w:sz w:val="20"/>
          <w:szCs w:val="20"/>
        </w:rPr>
        <w:t>has provided consistent yearly positive returns except in 2008 (in line with most asset classes) and 2013 (</w:t>
      </w:r>
      <w:r w:rsidR="009F4598">
        <w:rPr>
          <w:rFonts w:cs="Arial"/>
          <w:color w:val="000000" w:themeColor="text1"/>
          <w:sz w:val="20"/>
          <w:szCs w:val="20"/>
        </w:rPr>
        <w:t xml:space="preserve">as a result of taper tantrum). </w:t>
      </w:r>
      <w:r w:rsidR="00AF10EA" w:rsidRPr="00900FFB">
        <w:rPr>
          <w:rFonts w:cs="Arial"/>
          <w:color w:val="000000" w:themeColor="text1"/>
          <w:sz w:val="20"/>
          <w:szCs w:val="20"/>
        </w:rPr>
        <w:t>Additionally a common misconception is that Asia Fixed Income will underperform in a rate</w:t>
      </w:r>
      <w:r w:rsidR="009F4598">
        <w:rPr>
          <w:rFonts w:cs="Arial"/>
          <w:color w:val="000000" w:themeColor="text1"/>
          <w:sz w:val="20"/>
          <w:szCs w:val="20"/>
        </w:rPr>
        <w:t xml:space="preserve"> rising environment in the US. </w:t>
      </w:r>
      <w:r w:rsidR="00AF10EA" w:rsidRPr="00900FFB">
        <w:rPr>
          <w:rFonts w:cs="Arial"/>
          <w:color w:val="000000" w:themeColor="text1"/>
          <w:sz w:val="20"/>
          <w:szCs w:val="20"/>
        </w:rPr>
        <w:t xml:space="preserve">The JACI index was launched in September 2005, in the middle of the Federal Reserve’s last rate rising cycle that lasted </w:t>
      </w:r>
      <w:r w:rsidR="009F4598">
        <w:rPr>
          <w:rFonts w:cs="Arial"/>
          <w:color w:val="000000" w:themeColor="text1"/>
          <w:sz w:val="20"/>
          <w:szCs w:val="20"/>
        </w:rPr>
        <w:t xml:space="preserve">through to the middle of 2006. </w:t>
      </w:r>
      <w:r w:rsidR="00AF10EA" w:rsidRPr="00900FFB">
        <w:rPr>
          <w:rFonts w:cs="Arial"/>
          <w:color w:val="000000" w:themeColor="text1"/>
          <w:sz w:val="20"/>
          <w:szCs w:val="20"/>
        </w:rPr>
        <w:t>That cycle was quite aggressive yet Asia Fixed Income sti</w:t>
      </w:r>
      <w:r w:rsidR="008A6C64">
        <w:rPr>
          <w:rFonts w:cs="Arial"/>
          <w:color w:val="000000" w:themeColor="text1"/>
          <w:sz w:val="20"/>
          <w:szCs w:val="20"/>
        </w:rPr>
        <w:t xml:space="preserve">ll generated positive returns. </w:t>
      </w:r>
      <w:r w:rsidR="009F4598">
        <w:rPr>
          <w:rFonts w:cs="Arial"/>
          <w:color w:val="000000" w:themeColor="text1"/>
          <w:sz w:val="20"/>
          <w:szCs w:val="20"/>
        </w:rPr>
        <w:t>In 2018,</w:t>
      </w:r>
      <w:r w:rsidR="008A6C64" w:rsidRPr="008A6C64">
        <w:rPr>
          <w:rFonts w:cs="Arial"/>
          <w:color w:val="000000" w:themeColor="text1"/>
          <w:sz w:val="20"/>
          <w:szCs w:val="20"/>
        </w:rPr>
        <w:t xml:space="preserve"> </w:t>
      </w:r>
      <w:r w:rsidR="008A6C64">
        <w:rPr>
          <w:rFonts w:cs="Arial"/>
          <w:color w:val="000000" w:themeColor="text1"/>
          <w:sz w:val="20"/>
          <w:szCs w:val="20"/>
        </w:rPr>
        <w:t xml:space="preserve">Asia credit market </w:t>
      </w:r>
      <w:proofErr w:type="spellStart"/>
      <w:r w:rsidR="00AC7032">
        <w:rPr>
          <w:rFonts w:cs="Arial"/>
          <w:color w:val="000000" w:themeColor="text1"/>
          <w:sz w:val="20"/>
          <w:szCs w:val="20"/>
        </w:rPr>
        <w:t>ytd</w:t>
      </w:r>
      <w:proofErr w:type="spellEnd"/>
      <w:r w:rsidR="00AC7032">
        <w:rPr>
          <w:rFonts w:cs="Arial"/>
          <w:color w:val="000000" w:themeColor="text1"/>
          <w:sz w:val="20"/>
          <w:szCs w:val="20"/>
        </w:rPr>
        <w:t xml:space="preserve"> return was negative,</w:t>
      </w:r>
      <w:r w:rsidR="008A6C64">
        <w:rPr>
          <w:rFonts w:cs="Arial"/>
          <w:color w:val="000000" w:themeColor="text1"/>
          <w:sz w:val="20"/>
          <w:szCs w:val="20"/>
        </w:rPr>
        <w:t xml:space="preserve"> the first time since taper tantrum. While the resilience of Asia credit returns against Fed rate hike cycle were evident throughout 2015 to 2017, </w:t>
      </w:r>
      <w:r w:rsidR="00AC7032">
        <w:rPr>
          <w:rFonts w:cs="Arial"/>
          <w:color w:val="000000" w:themeColor="text1"/>
          <w:sz w:val="20"/>
          <w:szCs w:val="20"/>
        </w:rPr>
        <w:t>F</w:t>
      </w:r>
      <w:r w:rsidR="008A6C64">
        <w:rPr>
          <w:rFonts w:cs="Arial"/>
          <w:color w:val="000000" w:themeColor="text1"/>
          <w:sz w:val="20"/>
          <w:szCs w:val="20"/>
        </w:rPr>
        <w:t>ed hiking cycle</w:t>
      </w:r>
      <w:r w:rsidR="00AC7032">
        <w:rPr>
          <w:rFonts w:cs="Arial"/>
          <w:color w:val="000000" w:themeColor="text1"/>
          <w:sz w:val="20"/>
          <w:szCs w:val="20"/>
        </w:rPr>
        <w:t xml:space="preserve"> in 20</w:t>
      </w:r>
      <w:r w:rsidR="002C1DCD">
        <w:rPr>
          <w:rFonts w:cs="Arial"/>
          <w:color w:val="000000" w:themeColor="text1"/>
          <w:sz w:val="20"/>
          <w:szCs w:val="20"/>
        </w:rPr>
        <w:t>18</w:t>
      </w:r>
      <w:r w:rsidR="009F4598">
        <w:rPr>
          <w:rFonts w:cs="Arial"/>
          <w:color w:val="000000" w:themeColor="text1"/>
          <w:sz w:val="20"/>
          <w:szCs w:val="20"/>
        </w:rPr>
        <w:t xml:space="preserve"> is concurrent with </w:t>
      </w:r>
      <w:r w:rsidR="008A6C64">
        <w:rPr>
          <w:rFonts w:cs="Arial"/>
          <w:color w:val="000000" w:themeColor="text1"/>
          <w:sz w:val="20"/>
          <w:szCs w:val="20"/>
        </w:rPr>
        <w:t xml:space="preserve">escalating </w:t>
      </w:r>
      <w:r w:rsidR="009F4598">
        <w:rPr>
          <w:rFonts w:cs="Arial"/>
          <w:color w:val="000000" w:themeColor="text1"/>
          <w:sz w:val="20"/>
          <w:szCs w:val="20"/>
        </w:rPr>
        <w:t>US China trade tensions,</w:t>
      </w:r>
      <w:r w:rsidR="008A6C64">
        <w:rPr>
          <w:rFonts w:cs="Arial"/>
          <w:color w:val="000000" w:themeColor="text1"/>
          <w:sz w:val="20"/>
          <w:szCs w:val="20"/>
        </w:rPr>
        <w:t xml:space="preserve"> Turkey fallout, falling Asia exchange rates</w:t>
      </w:r>
      <w:r w:rsidR="009F4598">
        <w:rPr>
          <w:rFonts w:cs="Arial"/>
          <w:color w:val="000000" w:themeColor="text1"/>
          <w:sz w:val="20"/>
          <w:szCs w:val="20"/>
        </w:rPr>
        <w:t xml:space="preserve"> and thus </w:t>
      </w:r>
      <w:r w:rsidR="008A6C64">
        <w:rPr>
          <w:rFonts w:cs="Arial"/>
          <w:color w:val="000000" w:themeColor="text1"/>
          <w:sz w:val="20"/>
          <w:szCs w:val="20"/>
        </w:rPr>
        <w:t xml:space="preserve">general risk-off sentiments </w:t>
      </w:r>
      <w:r w:rsidR="00367C9E">
        <w:rPr>
          <w:rFonts w:cs="Arial"/>
          <w:color w:val="000000" w:themeColor="text1"/>
          <w:sz w:val="20"/>
          <w:szCs w:val="20"/>
        </w:rPr>
        <w:t xml:space="preserve">has </w:t>
      </w:r>
      <w:r w:rsidR="008A6C64">
        <w:rPr>
          <w:rFonts w:cs="Arial"/>
          <w:color w:val="000000" w:themeColor="text1"/>
          <w:sz w:val="20"/>
          <w:szCs w:val="20"/>
        </w:rPr>
        <w:t xml:space="preserve">impacted returns. </w:t>
      </w:r>
    </w:p>
    <w:p w:rsidR="008A6C64" w:rsidRDefault="008A6C64" w:rsidP="00313438">
      <w:pPr>
        <w:spacing w:after="60" w:line="280" w:lineRule="exact"/>
        <w:ind w:right="317"/>
        <w:jc w:val="both"/>
        <w:rPr>
          <w:rFonts w:cs="Arial"/>
          <w:color w:val="000000" w:themeColor="text1"/>
          <w:sz w:val="20"/>
          <w:szCs w:val="20"/>
        </w:rPr>
      </w:pPr>
    </w:p>
    <w:p w:rsidR="00BF7748" w:rsidRDefault="00BF7748" w:rsidP="00BF7748">
      <w:pPr>
        <w:pStyle w:val="NormalWeb"/>
        <w:spacing w:before="0" w:beforeAutospacing="0" w:after="0" w:afterAutospacing="0"/>
        <w:jc w:val="center"/>
        <w:rPr>
          <w:lang w:val="en-US"/>
        </w:rPr>
      </w:pPr>
      <w:r>
        <w:rPr>
          <w:rFonts w:ascii="Arial" w:eastAsiaTheme="minorEastAsia" w:hAnsi="Arial" w:cs="Arial"/>
          <w:b/>
          <w:bCs/>
          <w:color w:val="000000"/>
          <w:kern w:val="24"/>
          <w:sz w:val="22"/>
          <w:szCs w:val="22"/>
        </w:rPr>
        <w:t>Chart 5: JP Morgan Asia</w:t>
      </w:r>
      <w:r w:rsidR="008A6C64">
        <w:rPr>
          <w:rFonts w:ascii="Arial" w:eastAsiaTheme="minorEastAsia" w:hAnsi="Arial" w:cs="Arial"/>
          <w:b/>
          <w:bCs/>
          <w:color w:val="000000"/>
          <w:kern w:val="24"/>
          <w:sz w:val="22"/>
          <w:szCs w:val="22"/>
        </w:rPr>
        <w:t xml:space="preserve"> Investment Grade</w:t>
      </w:r>
      <w:r>
        <w:rPr>
          <w:rFonts w:ascii="Arial" w:eastAsiaTheme="minorEastAsia" w:hAnsi="Arial" w:cs="Arial"/>
          <w:b/>
          <w:bCs/>
          <w:color w:val="000000"/>
          <w:kern w:val="24"/>
          <w:sz w:val="22"/>
          <w:szCs w:val="22"/>
        </w:rPr>
        <w:t xml:space="preserve"> Credit Index</w:t>
      </w:r>
    </w:p>
    <w:p w:rsidR="00BF7748" w:rsidRPr="00F13700" w:rsidRDefault="00BF7748" w:rsidP="00F13700">
      <w:pPr>
        <w:pStyle w:val="NormalWeb"/>
        <w:spacing w:before="0" w:beforeAutospacing="0" w:after="0" w:afterAutospacing="0"/>
        <w:jc w:val="center"/>
      </w:pPr>
      <w:r>
        <w:rPr>
          <w:rFonts w:ascii="Arial" w:eastAsiaTheme="minorEastAsia" w:hAnsi="Arial" w:cs="Arial"/>
          <w:b/>
          <w:bCs/>
          <w:color w:val="000000"/>
          <w:kern w:val="24"/>
          <w:sz w:val="22"/>
          <w:szCs w:val="22"/>
        </w:rPr>
        <w:t>Annual Total Returns</w:t>
      </w:r>
    </w:p>
    <w:p w:rsidR="00313438" w:rsidRDefault="00F13700" w:rsidP="00073D87">
      <w:pPr>
        <w:spacing w:after="120" w:line="288" w:lineRule="auto"/>
        <w:ind w:right="323"/>
        <w:jc w:val="center"/>
        <w:rPr>
          <w:rFonts w:cs="Arial"/>
          <w:color w:val="000000" w:themeColor="text1"/>
          <w:sz w:val="20"/>
          <w:szCs w:val="20"/>
        </w:rPr>
      </w:pPr>
      <w:r w:rsidRPr="00F13700">
        <w:rPr>
          <w:noProof/>
          <w:lang w:val="en-US" w:eastAsia="zh-TW"/>
        </w:rPr>
        <w:drawing>
          <wp:inline distT="0" distB="0" distL="0" distR="0">
            <wp:extent cx="6694170" cy="2286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94170" cy="2286000"/>
                    </a:xfrm>
                    <a:prstGeom prst="rect">
                      <a:avLst/>
                    </a:prstGeom>
                    <a:noFill/>
                    <a:ln>
                      <a:noFill/>
                    </a:ln>
                  </pic:spPr>
                </pic:pic>
              </a:graphicData>
            </a:graphic>
          </wp:inline>
        </w:drawing>
      </w:r>
    </w:p>
    <w:p w:rsidR="00313438" w:rsidRPr="00900FFB" w:rsidRDefault="00313438" w:rsidP="00073D87">
      <w:pPr>
        <w:spacing w:after="120" w:line="288" w:lineRule="auto"/>
        <w:ind w:right="323"/>
        <w:jc w:val="center"/>
        <w:rPr>
          <w:rFonts w:cs="Arial"/>
          <w:color w:val="000000" w:themeColor="text1"/>
          <w:sz w:val="20"/>
          <w:szCs w:val="20"/>
        </w:rPr>
      </w:pPr>
    </w:p>
    <w:p w:rsidR="00AF10EA" w:rsidRPr="00900FFB" w:rsidRDefault="00AF10EA" w:rsidP="00073D87">
      <w:pPr>
        <w:spacing w:after="120" w:line="288" w:lineRule="auto"/>
        <w:rPr>
          <w:rFonts w:cs="Arial"/>
          <w:bCs/>
          <w:color w:val="000000" w:themeColor="text1"/>
          <w:kern w:val="32"/>
          <w:sz w:val="16"/>
          <w:szCs w:val="16"/>
        </w:rPr>
      </w:pPr>
      <w:r w:rsidRPr="00900FFB">
        <w:rPr>
          <w:rFonts w:cs="Arial"/>
          <w:bCs/>
          <w:color w:val="000000" w:themeColor="text1"/>
          <w:kern w:val="32"/>
          <w:sz w:val="16"/>
          <w:szCs w:val="16"/>
        </w:rPr>
        <w:t xml:space="preserve">Source: First State Investments, JP Morgan, and Bond Radar. Data as of </w:t>
      </w:r>
      <w:r w:rsidR="00F13700">
        <w:rPr>
          <w:rFonts w:cs="Arial"/>
          <w:bCs/>
          <w:color w:val="000000" w:themeColor="text1"/>
          <w:kern w:val="32"/>
          <w:sz w:val="16"/>
          <w:szCs w:val="16"/>
        </w:rPr>
        <w:t>31 October 2018.</w:t>
      </w:r>
    </w:p>
    <w:p w:rsidR="00D23C8A" w:rsidRDefault="008A6C64" w:rsidP="00D23C8A">
      <w:pPr>
        <w:spacing w:after="60" w:line="280" w:lineRule="exact"/>
        <w:ind w:right="317"/>
        <w:jc w:val="both"/>
        <w:rPr>
          <w:rFonts w:cs="Arial"/>
          <w:color w:val="000000" w:themeColor="text1"/>
          <w:sz w:val="20"/>
          <w:szCs w:val="20"/>
        </w:rPr>
      </w:pPr>
      <w:r>
        <w:rPr>
          <w:rFonts w:cs="Arial"/>
          <w:color w:val="000000" w:themeColor="text1"/>
          <w:sz w:val="20"/>
          <w:szCs w:val="20"/>
        </w:rPr>
        <w:lastRenderedPageBreak/>
        <w:t>I</w:t>
      </w:r>
      <w:r w:rsidR="00080530" w:rsidRPr="00900FFB">
        <w:rPr>
          <w:rFonts w:cs="Arial"/>
          <w:color w:val="000000" w:themeColor="text1"/>
          <w:sz w:val="20"/>
          <w:szCs w:val="20"/>
        </w:rPr>
        <w:t>n the context of volatility</w:t>
      </w:r>
      <w:r w:rsidR="00936CEE" w:rsidRPr="00900FFB">
        <w:rPr>
          <w:rFonts w:cs="Arial"/>
          <w:color w:val="000000" w:themeColor="text1"/>
          <w:sz w:val="20"/>
          <w:szCs w:val="20"/>
        </w:rPr>
        <w:t xml:space="preserve"> (i.e. risk adjusted returns or Sharpe Ratio)</w:t>
      </w:r>
      <w:r>
        <w:rPr>
          <w:rFonts w:cs="Arial"/>
          <w:color w:val="000000" w:themeColor="text1"/>
          <w:sz w:val="20"/>
          <w:szCs w:val="20"/>
        </w:rPr>
        <w:t xml:space="preserve">, </w:t>
      </w:r>
      <w:proofErr w:type="gramStart"/>
      <w:r>
        <w:rPr>
          <w:rFonts w:cs="Arial"/>
          <w:color w:val="000000" w:themeColor="text1"/>
          <w:sz w:val="20"/>
          <w:szCs w:val="20"/>
        </w:rPr>
        <w:t>We</w:t>
      </w:r>
      <w:proofErr w:type="gramEnd"/>
      <w:r>
        <w:rPr>
          <w:rFonts w:cs="Arial"/>
          <w:color w:val="000000" w:themeColor="text1"/>
          <w:sz w:val="20"/>
          <w:szCs w:val="20"/>
        </w:rPr>
        <w:t xml:space="preserve"> compare Asia Fixed Income to major asset classes</w:t>
      </w:r>
      <w:r w:rsidR="00080530" w:rsidRPr="00900FFB">
        <w:rPr>
          <w:rFonts w:cs="Arial"/>
          <w:color w:val="000000" w:themeColor="text1"/>
          <w:sz w:val="20"/>
          <w:szCs w:val="20"/>
        </w:rPr>
        <w:t xml:space="preserve"> (Chart </w:t>
      </w:r>
      <w:r w:rsidR="00936CEE" w:rsidRPr="00900FFB">
        <w:rPr>
          <w:rFonts w:cs="Arial"/>
          <w:color w:val="000000" w:themeColor="text1"/>
          <w:sz w:val="20"/>
          <w:szCs w:val="20"/>
        </w:rPr>
        <w:t>6</w:t>
      </w:r>
      <w:r w:rsidR="00080530" w:rsidRPr="00900FFB">
        <w:rPr>
          <w:rFonts w:cs="Arial"/>
          <w:color w:val="000000" w:themeColor="text1"/>
          <w:sz w:val="20"/>
          <w:szCs w:val="20"/>
        </w:rPr>
        <w:t>).  Asian Investment Grade Sharpe Ratio when compared to ot</w:t>
      </w:r>
      <w:r>
        <w:rPr>
          <w:rFonts w:cs="Arial"/>
          <w:color w:val="000000" w:themeColor="text1"/>
          <w:sz w:val="20"/>
          <w:szCs w:val="20"/>
        </w:rPr>
        <w:t>her asset classes for the period from 2009 (Post GFC) to Oct</w:t>
      </w:r>
      <w:r w:rsidR="00CD5EB3">
        <w:rPr>
          <w:rFonts w:cs="Arial"/>
          <w:color w:val="000000" w:themeColor="text1"/>
          <w:sz w:val="20"/>
          <w:szCs w:val="20"/>
        </w:rPr>
        <w:t>ober</w:t>
      </w:r>
      <w:r>
        <w:rPr>
          <w:rFonts w:cs="Arial"/>
          <w:color w:val="000000" w:themeColor="text1"/>
          <w:sz w:val="20"/>
          <w:szCs w:val="20"/>
        </w:rPr>
        <w:t xml:space="preserve"> 2018</w:t>
      </w:r>
      <w:r w:rsidR="00DA114B">
        <w:rPr>
          <w:rFonts w:cs="Arial"/>
          <w:color w:val="000000" w:themeColor="text1"/>
          <w:sz w:val="20"/>
          <w:szCs w:val="20"/>
        </w:rPr>
        <w:t xml:space="preserve"> </w:t>
      </w:r>
      <w:r>
        <w:rPr>
          <w:rFonts w:cs="Arial"/>
          <w:color w:val="000000" w:themeColor="text1"/>
          <w:sz w:val="20"/>
          <w:szCs w:val="20"/>
        </w:rPr>
        <w:t>remains favourable</w:t>
      </w:r>
      <w:r w:rsidR="00073D87" w:rsidRPr="00900FFB">
        <w:rPr>
          <w:rFonts w:cs="Arial"/>
          <w:color w:val="000000" w:themeColor="text1"/>
          <w:sz w:val="20"/>
          <w:szCs w:val="20"/>
        </w:rPr>
        <w:t>.</w:t>
      </w:r>
    </w:p>
    <w:p w:rsidR="00AC7032" w:rsidRPr="00900FFB" w:rsidRDefault="00AC7032" w:rsidP="00D23C8A">
      <w:pPr>
        <w:spacing w:after="60" w:line="280" w:lineRule="exact"/>
        <w:ind w:right="317"/>
        <w:jc w:val="both"/>
        <w:rPr>
          <w:rFonts w:cs="Arial"/>
          <w:color w:val="000000" w:themeColor="text1"/>
          <w:sz w:val="20"/>
          <w:szCs w:val="20"/>
        </w:rPr>
      </w:pPr>
    </w:p>
    <w:p w:rsidR="0041616B" w:rsidRDefault="00080530" w:rsidP="00D23C8A">
      <w:pPr>
        <w:spacing w:after="60" w:line="280" w:lineRule="exact"/>
        <w:ind w:right="317"/>
        <w:jc w:val="both"/>
        <w:rPr>
          <w:rFonts w:cs="Arial"/>
          <w:color w:val="000000" w:themeColor="text1"/>
          <w:sz w:val="20"/>
          <w:szCs w:val="20"/>
        </w:rPr>
      </w:pPr>
      <w:r w:rsidRPr="00900FFB">
        <w:rPr>
          <w:rFonts w:cs="Arial"/>
          <w:color w:val="000000" w:themeColor="text1"/>
          <w:sz w:val="20"/>
          <w:szCs w:val="20"/>
        </w:rPr>
        <w:t>We see increasing probability of more investors allocating to Asia Fixed Income in the coming years.  As Central Banks crowd out Fixed Income investors globally, Asian Fixed Income will g</w:t>
      </w:r>
      <w:r w:rsidR="008A6C64">
        <w:rPr>
          <w:rFonts w:cs="Arial"/>
          <w:color w:val="000000" w:themeColor="text1"/>
          <w:sz w:val="20"/>
          <w:szCs w:val="20"/>
        </w:rPr>
        <w:t xml:space="preserve">row in importance. </w:t>
      </w:r>
      <w:r w:rsidRPr="00900FFB">
        <w:rPr>
          <w:rFonts w:cs="Arial"/>
          <w:color w:val="000000" w:themeColor="text1"/>
          <w:sz w:val="20"/>
          <w:szCs w:val="20"/>
        </w:rPr>
        <w:t xml:space="preserve">With higher returns than US Investment Grade and Europe Investment Grade, and annualized volatility akin to US Investment Grade, we believe this makes it an attractive asset class.  </w:t>
      </w:r>
    </w:p>
    <w:p w:rsidR="004A641E" w:rsidRDefault="004A641E" w:rsidP="00D23C8A">
      <w:pPr>
        <w:spacing w:after="60" w:line="280" w:lineRule="exact"/>
        <w:ind w:right="317"/>
        <w:jc w:val="both"/>
        <w:rPr>
          <w:rFonts w:cs="Arial"/>
          <w:color w:val="000000" w:themeColor="text1"/>
          <w:sz w:val="20"/>
          <w:szCs w:val="20"/>
        </w:rPr>
      </w:pPr>
    </w:p>
    <w:p w:rsidR="00BF7748" w:rsidRDefault="00BF7748" w:rsidP="00BF7748">
      <w:pPr>
        <w:pStyle w:val="NormalWeb"/>
        <w:spacing w:before="0" w:beforeAutospacing="0" w:after="0" w:afterAutospacing="0"/>
        <w:jc w:val="center"/>
        <w:rPr>
          <w:lang w:val="en-US"/>
        </w:rPr>
      </w:pPr>
      <w:r>
        <w:rPr>
          <w:rFonts w:ascii="Arial" w:eastAsiaTheme="minorEastAsia" w:hAnsi="Arial" w:cs="Arial"/>
          <w:b/>
          <w:bCs/>
          <w:color w:val="262626"/>
          <w:kern w:val="24"/>
          <w:sz w:val="22"/>
          <w:szCs w:val="22"/>
          <w14:textFill>
            <w14:solidFill>
              <w14:srgbClr w14:val="262626">
                <w14:lumMod w14:val="85000"/>
                <w14:lumOff w14:val="15000"/>
              </w14:srgbClr>
            </w14:solidFill>
          </w14:textFill>
        </w:rPr>
        <w:t xml:space="preserve">Chart 6: </w:t>
      </w:r>
      <w:r w:rsidR="00A84EA8">
        <w:rPr>
          <w:rFonts w:ascii="Arial" w:eastAsiaTheme="minorEastAsia" w:hAnsi="Arial" w:cs="Arial"/>
          <w:b/>
          <w:bCs/>
          <w:color w:val="262626"/>
          <w:kern w:val="24"/>
          <w:sz w:val="22"/>
          <w:szCs w:val="22"/>
          <w14:textFill>
            <w14:solidFill>
              <w14:srgbClr w14:val="262626">
                <w14:lumMod w14:val="85000"/>
                <w14:lumOff w14:val="15000"/>
              </w14:srgbClr>
            </w14:solidFill>
          </w14:textFill>
        </w:rPr>
        <w:t>Asset class risk adjusted</w:t>
      </w:r>
      <w:r w:rsidR="008C2424">
        <w:rPr>
          <w:rFonts w:ascii="Arial" w:eastAsiaTheme="minorEastAsia" w:hAnsi="Arial" w:cs="Arial"/>
          <w:b/>
          <w:bCs/>
          <w:color w:val="262626"/>
          <w:kern w:val="24"/>
          <w:sz w:val="22"/>
          <w:szCs w:val="22"/>
          <w14:textFill>
            <w14:solidFill>
              <w14:srgbClr w14:val="262626">
                <w14:lumMod w14:val="85000"/>
                <w14:lumOff w14:val="15000"/>
              </w14:srgbClr>
            </w14:solidFill>
          </w14:textFill>
        </w:rPr>
        <w:t xml:space="preserve"> </w:t>
      </w:r>
      <w:r w:rsidR="00A84EA8">
        <w:rPr>
          <w:rFonts w:ascii="Arial" w:eastAsiaTheme="minorEastAsia" w:hAnsi="Arial" w:cs="Arial"/>
          <w:b/>
          <w:bCs/>
          <w:color w:val="262626"/>
          <w:kern w:val="24"/>
          <w:sz w:val="22"/>
          <w:szCs w:val="22"/>
          <w14:textFill>
            <w14:solidFill>
              <w14:srgbClr w14:val="262626">
                <w14:lumMod w14:val="85000"/>
                <w14:lumOff w14:val="15000"/>
              </w14:srgbClr>
            </w14:solidFill>
          </w14:textFill>
        </w:rPr>
        <w:t>r</w:t>
      </w:r>
      <w:r w:rsidR="008C2424">
        <w:rPr>
          <w:rFonts w:ascii="Arial" w:eastAsiaTheme="minorEastAsia" w:hAnsi="Arial" w:cs="Arial"/>
          <w:b/>
          <w:bCs/>
          <w:color w:val="262626"/>
          <w:kern w:val="24"/>
          <w:sz w:val="22"/>
          <w:szCs w:val="22"/>
          <w14:textFill>
            <w14:solidFill>
              <w14:srgbClr w14:val="262626">
                <w14:lumMod w14:val="85000"/>
                <w14:lumOff w14:val="15000"/>
              </w14:srgbClr>
            </w14:solidFill>
          </w14:textFill>
        </w:rPr>
        <w:t>eturn</w:t>
      </w:r>
      <w:r w:rsidR="00A84EA8">
        <w:rPr>
          <w:rFonts w:ascii="Arial" w:eastAsiaTheme="minorEastAsia" w:hAnsi="Arial" w:cs="Arial"/>
          <w:b/>
          <w:bCs/>
          <w:color w:val="262626"/>
          <w:kern w:val="24"/>
          <w:sz w:val="22"/>
          <w:szCs w:val="22"/>
          <w14:textFill>
            <w14:solidFill>
              <w14:srgbClr w14:val="262626">
                <w14:lumMod w14:val="85000"/>
                <w14:lumOff w14:val="15000"/>
              </w14:srgbClr>
            </w14:solidFill>
          </w14:textFill>
        </w:rPr>
        <w:t>s</w:t>
      </w:r>
      <w:r w:rsidR="008C2424">
        <w:rPr>
          <w:rFonts w:ascii="Arial" w:eastAsiaTheme="minorEastAsia" w:hAnsi="Arial" w:cs="Arial"/>
          <w:b/>
          <w:bCs/>
          <w:color w:val="262626"/>
          <w:kern w:val="24"/>
          <w:sz w:val="22"/>
          <w:szCs w:val="22"/>
          <w14:textFill>
            <w14:solidFill>
              <w14:srgbClr w14:val="262626">
                <w14:lumMod w14:val="85000"/>
                <w14:lumOff w14:val="15000"/>
              </w14:srgbClr>
            </w14:solidFill>
          </w14:textFill>
        </w:rPr>
        <w:t xml:space="preserve"> for the period </w:t>
      </w:r>
      <w:r w:rsidR="00A57D29">
        <w:rPr>
          <w:rFonts w:ascii="Arial" w:eastAsiaTheme="minorEastAsia" w:hAnsi="Arial" w:cs="Arial"/>
          <w:b/>
          <w:bCs/>
          <w:color w:val="262626"/>
          <w:kern w:val="24"/>
          <w:sz w:val="22"/>
          <w:szCs w:val="22"/>
          <w14:textFill>
            <w14:solidFill>
              <w14:srgbClr w14:val="262626">
                <w14:lumMod w14:val="85000"/>
                <w14:lumOff w14:val="15000"/>
              </w14:srgbClr>
            </w14:solidFill>
          </w14:textFill>
        </w:rPr>
        <w:t>since post GFC to 2018</w:t>
      </w:r>
      <w:r w:rsidR="00F13700" w:rsidRPr="00F13700">
        <w:rPr>
          <w:rFonts w:eastAsiaTheme="minorEastAsia"/>
          <w:noProof/>
          <w:lang w:val="en-US" w:eastAsia="zh-TW"/>
        </w:rPr>
        <w:drawing>
          <wp:inline distT="0" distB="0" distL="0" distR="0">
            <wp:extent cx="6694170" cy="230314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94170" cy="2303145"/>
                    </a:xfrm>
                    <a:prstGeom prst="rect">
                      <a:avLst/>
                    </a:prstGeom>
                    <a:noFill/>
                    <a:ln>
                      <a:noFill/>
                    </a:ln>
                  </pic:spPr>
                </pic:pic>
              </a:graphicData>
            </a:graphic>
          </wp:inline>
        </w:drawing>
      </w:r>
    </w:p>
    <w:p w:rsidR="00BF7748" w:rsidRPr="00900FFB" w:rsidRDefault="00BF7748" w:rsidP="00BF7748">
      <w:pPr>
        <w:spacing w:after="60" w:line="280" w:lineRule="exact"/>
        <w:ind w:right="317"/>
        <w:jc w:val="center"/>
        <w:rPr>
          <w:rFonts w:cs="Arial"/>
          <w:color w:val="000000" w:themeColor="text1"/>
          <w:sz w:val="20"/>
          <w:szCs w:val="20"/>
        </w:rPr>
      </w:pPr>
    </w:p>
    <w:tbl>
      <w:tblPr>
        <w:tblW w:w="10511" w:type="dxa"/>
        <w:tblCellMar>
          <w:left w:w="0" w:type="dxa"/>
          <w:right w:w="0" w:type="dxa"/>
        </w:tblCellMar>
        <w:tblLook w:val="0420" w:firstRow="1" w:lastRow="0" w:firstColumn="0" w:lastColumn="0" w:noHBand="0" w:noVBand="1"/>
      </w:tblPr>
      <w:tblGrid>
        <w:gridCol w:w="971"/>
        <w:gridCol w:w="728"/>
        <w:gridCol w:w="698"/>
        <w:gridCol w:w="698"/>
        <w:gridCol w:w="674"/>
        <w:gridCol w:w="674"/>
        <w:gridCol w:w="674"/>
        <w:gridCol w:w="674"/>
        <w:gridCol w:w="891"/>
        <w:gridCol w:w="881"/>
        <w:gridCol w:w="737"/>
        <w:gridCol w:w="737"/>
        <w:gridCol w:w="737"/>
        <w:gridCol w:w="737"/>
      </w:tblGrid>
      <w:tr w:rsidR="00BF7748" w:rsidRPr="00BF7748" w:rsidTr="00BF7748">
        <w:trPr>
          <w:trHeight w:val="745"/>
        </w:trPr>
        <w:tc>
          <w:tcPr>
            <w:tcW w:w="891" w:type="dxa"/>
            <w:tcBorders>
              <w:top w:val="single" w:sz="8" w:space="0" w:color="FFFFFF"/>
              <w:left w:val="single" w:sz="8" w:space="0" w:color="FFFFFF"/>
              <w:bottom w:val="single" w:sz="24" w:space="0" w:color="FFFFFF"/>
              <w:right w:val="single" w:sz="8" w:space="0" w:color="FFFFFF"/>
            </w:tcBorders>
            <w:shd w:val="clear" w:color="auto" w:fill="0096D7"/>
            <w:tcMar>
              <w:top w:w="66" w:type="dxa"/>
              <w:left w:w="40" w:type="dxa"/>
              <w:bottom w:w="66" w:type="dxa"/>
              <w:right w:w="40" w:type="dxa"/>
            </w:tcMar>
            <w:vAlign w:val="center"/>
            <w:hideMark/>
          </w:tcPr>
          <w:p w:rsidR="00BF7748" w:rsidRPr="00BF7748" w:rsidRDefault="00BF7748">
            <w:pPr>
              <w:rPr>
                <w:rFonts w:ascii="Times New Roman" w:hAnsi="Times New Roman"/>
                <w:szCs w:val="18"/>
                <w:lang w:val="en-US"/>
              </w:rPr>
            </w:pP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15" w:type="dxa"/>
              <w:left w:w="15" w:type="dxa"/>
              <w:bottom w:w="0" w:type="dxa"/>
              <w:right w:w="15" w:type="dxa"/>
            </w:tcMar>
            <w:vAlign w:val="center"/>
            <w:hideMark/>
          </w:tcPr>
          <w:p w:rsidR="00BF7748" w:rsidRPr="008A6C64" w:rsidRDefault="00BF7748">
            <w:pPr>
              <w:pStyle w:val="NormalWeb"/>
              <w:spacing w:before="0" w:beforeAutospacing="0" w:after="0" w:afterAutospacing="0"/>
              <w:jc w:val="center"/>
              <w:textAlignment w:val="center"/>
              <w:rPr>
                <w:rFonts w:ascii="Arial" w:hAnsi="Arial" w:cs="Arial"/>
                <w:sz w:val="18"/>
                <w:szCs w:val="18"/>
              </w:rPr>
            </w:pPr>
            <w:r w:rsidRPr="008A6C64">
              <w:rPr>
                <w:rFonts w:asciiTheme="minorHAnsi" w:eastAsiaTheme="minorEastAsia" w:hAnsi="Arial" w:cstheme="minorBidi"/>
                <w:b/>
                <w:bCs/>
                <w:color w:val="FFFFFF" w:themeColor="light1"/>
                <w:kern w:val="24"/>
                <w:sz w:val="18"/>
                <w:szCs w:val="18"/>
              </w:rPr>
              <w:t>5-year US Treasury</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BF7748" w:rsidRPr="008A6C64" w:rsidRDefault="00BF7748">
            <w:pPr>
              <w:pStyle w:val="NormalWeb"/>
              <w:spacing w:before="0" w:beforeAutospacing="0" w:after="0" w:afterAutospacing="0"/>
              <w:jc w:val="center"/>
              <w:textAlignment w:val="center"/>
              <w:rPr>
                <w:rFonts w:ascii="Arial" w:hAnsi="Arial" w:cs="Arial"/>
                <w:sz w:val="18"/>
                <w:szCs w:val="18"/>
              </w:rPr>
            </w:pPr>
            <w:r w:rsidRPr="008A6C64">
              <w:rPr>
                <w:rFonts w:ascii="Arial" w:eastAsia="MS PGothic" w:hAnsi="Arial" w:cs="MS PGothic"/>
                <w:b/>
                <w:bCs/>
                <w:color w:val="FFFFFF" w:themeColor="light1"/>
                <w:kern w:val="24"/>
                <w:sz w:val="18"/>
                <w:szCs w:val="18"/>
              </w:rPr>
              <w:t>Asian USD IG</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BF7748" w:rsidRPr="008A6C64" w:rsidRDefault="00BF7748">
            <w:pPr>
              <w:pStyle w:val="NormalWeb"/>
              <w:spacing w:before="0" w:beforeAutospacing="0" w:after="0" w:afterAutospacing="0"/>
              <w:jc w:val="center"/>
              <w:textAlignment w:val="center"/>
              <w:rPr>
                <w:rFonts w:ascii="Arial" w:hAnsi="Arial" w:cs="Arial"/>
                <w:sz w:val="18"/>
                <w:szCs w:val="18"/>
              </w:rPr>
            </w:pPr>
            <w:r w:rsidRPr="008A6C64">
              <w:rPr>
                <w:noProof/>
                <w:sz w:val="18"/>
                <w:szCs w:val="18"/>
                <w:lang w:val="en-US" w:eastAsia="zh-TW"/>
              </w:rPr>
              <mc:AlternateContent>
                <mc:Choice Requires="wps">
                  <w:drawing>
                    <wp:anchor distT="0" distB="0" distL="114300" distR="114300" simplePos="0" relativeHeight="251698688" behindDoc="0" locked="0" layoutInCell="1" allowOverlap="1">
                      <wp:simplePos x="0" y="0"/>
                      <wp:positionH relativeFrom="column">
                        <wp:posOffset>-450850</wp:posOffset>
                      </wp:positionH>
                      <wp:positionV relativeFrom="paragraph">
                        <wp:posOffset>-71755</wp:posOffset>
                      </wp:positionV>
                      <wp:extent cx="438150" cy="2028825"/>
                      <wp:effectExtent l="19050" t="19050" r="19050" b="28575"/>
                      <wp:wrapNone/>
                      <wp:docPr id="33" name="Rectangle 33"/>
                      <wp:cNvGraphicFramePr/>
                      <a:graphic xmlns:a="http://schemas.openxmlformats.org/drawingml/2006/main">
                        <a:graphicData uri="http://schemas.microsoft.com/office/word/2010/wordprocessingShape">
                          <wps:wsp>
                            <wps:cNvSpPr/>
                            <wps:spPr>
                              <a:xfrm>
                                <a:off x="0" y="0"/>
                                <a:ext cx="438150" cy="2028825"/>
                              </a:xfrm>
                              <a:prstGeom prst="rect">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2B847" id="Rectangle 33" o:spid="_x0000_s1026" style="position:absolute;margin-left:-35.5pt;margin-top:-5.65pt;width:34.5pt;height:159.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" filled="f" strokecolor="#00b0f0" strokeweight="2.25pt"/>
                  </w:pict>
                </mc:Fallback>
              </mc:AlternateContent>
            </w:r>
            <w:r w:rsidRPr="008A6C64">
              <w:rPr>
                <w:rFonts w:ascii="Arial" w:eastAsia="MS PGothic" w:hAnsi="Arial" w:cs="MS PGothic"/>
                <w:b/>
                <w:bCs/>
                <w:color w:val="FFFFFF" w:themeColor="light1"/>
                <w:kern w:val="24"/>
                <w:sz w:val="18"/>
                <w:szCs w:val="18"/>
              </w:rPr>
              <w:t>Asian USD HY</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BF7748" w:rsidRPr="008A6C64" w:rsidRDefault="00BF7748">
            <w:pPr>
              <w:pStyle w:val="NormalWeb"/>
              <w:spacing w:before="0" w:beforeAutospacing="0" w:after="0" w:afterAutospacing="0"/>
              <w:jc w:val="center"/>
              <w:textAlignment w:val="center"/>
              <w:rPr>
                <w:rFonts w:ascii="Arial" w:hAnsi="Arial" w:cs="Arial"/>
                <w:sz w:val="18"/>
                <w:szCs w:val="18"/>
              </w:rPr>
            </w:pPr>
            <w:r w:rsidRPr="008A6C64">
              <w:rPr>
                <w:rFonts w:ascii="Arial" w:eastAsia="MS PGothic" w:hAnsi="Arial" w:cs="MS PGothic"/>
                <w:b/>
                <w:bCs/>
                <w:color w:val="FFFFFF" w:themeColor="light1"/>
                <w:kern w:val="24"/>
                <w:sz w:val="18"/>
                <w:szCs w:val="18"/>
              </w:rPr>
              <w:t>US IG</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BF7748" w:rsidRPr="008A6C64" w:rsidRDefault="00BF7748">
            <w:pPr>
              <w:pStyle w:val="NormalWeb"/>
              <w:spacing w:before="0" w:beforeAutospacing="0" w:after="0" w:afterAutospacing="0"/>
              <w:jc w:val="center"/>
              <w:textAlignment w:val="center"/>
              <w:rPr>
                <w:rFonts w:ascii="Arial" w:hAnsi="Arial" w:cs="Arial"/>
                <w:sz w:val="18"/>
                <w:szCs w:val="18"/>
              </w:rPr>
            </w:pPr>
            <w:r w:rsidRPr="008A6C64">
              <w:rPr>
                <w:rFonts w:ascii="Arial" w:eastAsia="MS PGothic" w:hAnsi="Arial" w:cs="MS PGothic"/>
                <w:b/>
                <w:bCs/>
                <w:color w:val="FFFFFF" w:themeColor="light1"/>
                <w:kern w:val="24"/>
                <w:sz w:val="18"/>
                <w:szCs w:val="18"/>
              </w:rPr>
              <w:t>US HY</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BF7748" w:rsidRPr="008A6C64" w:rsidRDefault="00BF7748">
            <w:pPr>
              <w:pStyle w:val="NormalWeb"/>
              <w:spacing w:before="0" w:beforeAutospacing="0" w:after="0" w:afterAutospacing="0"/>
              <w:jc w:val="center"/>
              <w:textAlignment w:val="center"/>
              <w:rPr>
                <w:rFonts w:ascii="Arial" w:hAnsi="Arial" w:cs="Arial"/>
                <w:sz w:val="18"/>
                <w:szCs w:val="18"/>
              </w:rPr>
            </w:pPr>
            <w:r w:rsidRPr="008A6C64">
              <w:rPr>
                <w:rFonts w:asciiTheme="minorHAnsi" w:eastAsiaTheme="minorEastAsia" w:hAnsi="Arial" w:cstheme="minorBidi"/>
                <w:b/>
                <w:bCs/>
                <w:color w:val="FFFFFF" w:themeColor="light1"/>
                <w:kern w:val="24"/>
                <w:sz w:val="18"/>
                <w:szCs w:val="18"/>
              </w:rPr>
              <w:t>Euro IG</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BF7748" w:rsidRPr="008A6C64" w:rsidRDefault="00BF7748">
            <w:pPr>
              <w:pStyle w:val="NormalWeb"/>
              <w:spacing w:before="0" w:beforeAutospacing="0" w:after="0" w:afterAutospacing="0"/>
              <w:jc w:val="center"/>
              <w:textAlignment w:val="center"/>
              <w:rPr>
                <w:rFonts w:ascii="Arial" w:hAnsi="Arial" w:cs="Arial"/>
                <w:sz w:val="18"/>
                <w:szCs w:val="18"/>
              </w:rPr>
            </w:pPr>
            <w:r w:rsidRPr="008A6C64">
              <w:rPr>
                <w:rFonts w:asciiTheme="minorHAnsi" w:eastAsiaTheme="minorEastAsia" w:hAnsi="Arial" w:cstheme="minorBidi"/>
                <w:b/>
                <w:bCs/>
                <w:color w:val="FFFFFF" w:themeColor="light1"/>
                <w:kern w:val="24"/>
                <w:sz w:val="18"/>
                <w:szCs w:val="18"/>
              </w:rPr>
              <w:t>Euro HY</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BF7748" w:rsidRPr="008A6C64" w:rsidRDefault="00BF7748">
            <w:pPr>
              <w:pStyle w:val="NormalWeb"/>
              <w:spacing w:before="0" w:beforeAutospacing="0" w:after="0" w:afterAutospacing="0"/>
              <w:jc w:val="center"/>
              <w:textAlignment w:val="center"/>
              <w:rPr>
                <w:rFonts w:ascii="Arial" w:hAnsi="Arial" w:cs="Arial"/>
                <w:sz w:val="18"/>
                <w:szCs w:val="18"/>
              </w:rPr>
            </w:pPr>
            <w:r w:rsidRPr="008A6C64">
              <w:rPr>
                <w:rFonts w:ascii="Arial" w:eastAsia="MS PGothic" w:hAnsi="Arial" w:cs="MS PGothic"/>
                <w:b/>
                <w:bCs/>
                <w:color w:val="FFFFFF" w:themeColor="light1"/>
                <w:kern w:val="24"/>
                <w:sz w:val="18"/>
                <w:szCs w:val="18"/>
              </w:rPr>
              <w:t>EM USD Sovereign</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BF7748" w:rsidRPr="008A6C64" w:rsidRDefault="00BF7748">
            <w:pPr>
              <w:pStyle w:val="NormalWeb"/>
              <w:spacing w:before="0" w:beforeAutospacing="0" w:after="0" w:afterAutospacing="0"/>
              <w:jc w:val="center"/>
              <w:textAlignment w:val="center"/>
              <w:rPr>
                <w:rFonts w:ascii="Arial" w:hAnsi="Arial" w:cs="Arial"/>
                <w:sz w:val="18"/>
                <w:szCs w:val="18"/>
              </w:rPr>
            </w:pPr>
            <w:r w:rsidRPr="008A6C64">
              <w:rPr>
                <w:rFonts w:ascii="Arial" w:eastAsia="MS PGothic" w:hAnsi="Arial" w:cs="MS PGothic"/>
                <w:b/>
                <w:bCs/>
                <w:color w:val="FFFFFF" w:themeColor="light1"/>
                <w:kern w:val="24"/>
                <w:sz w:val="18"/>
                <w:szCs w:val="18"/>
              </w:rPr>
              <w:t>EM USD Corporate</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BF7748" w:rsidRPr="008A6C64" w:rsidRDefault="00BF7748">
            <w:pPr>
              <w:pStyle w:val="NormalWeb"/>
              <w:spacing w:before="0" w:beforeAutospacing="0" w:after="0" w:afterAutospacing="0"/>
              <w:jc w:val="center"/>
              <w:textAlignment w:val="center"/>
              <w:rPr>
                <w:rFonts w:ascii="Arial" w:hAnsi="Arial" w:cs="Arial"/>
                <w:sz w:val="18"/>
                <w:szCs w:val="18"/>
              </w:rPr>
            </w:pPr>
            <w:r w:rsidRPr="008A6C64">
              <w:rPr>
                <w:rFonts w:ascii="Arial" w:eastAsia="MS PGothic" w:hAnsi="Arial" w:cs="MS PGothic"/>
                <w:b/>
                <w:bCs/>
                <w:color w:val="FFFFFF" w:themeColor="light1"/>
                <w:kern w:val="24"/>
                <w:sz w:val="18"/>
                <w:szCs w:val="18"/>
              </w:rPr>
              <w:t>Global Equities</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BF7748" w:rsidRPr="008A6C64" w:rsidRDefault="00BF7748">
            <w:pPr>
              <w:pStyle w:val="NormalWeb"/>
              <w:spacing w:before="0" w:beforeAutospacing="0" w:after="0" w:afterAutospacing="0"/>
              <w:jc w:val="center"/>
              <w:textAlignment w:val="center"/>
              <w:rPr>
                <w:rFonts w:ascii="Arial" w:hAnsi="Arial" w:cs="Arial"/>
                <w:sz w:val="18"/>
                <w:szCs w:val="18"/>
              </w:rPr>
            </w:pPr>
            <w:r w:rsidRPr="008A6C64">
              <w:rPr>
                <w:rFonts w:ascii="Arial" w:eastAsia="MS PGothic" w:hAnsi="Arial" w:cs="MS PGothic"/>
                <w:b/>
                <w:bCs/>
                <w:color w:val="FFFFFF" w:themeColor="light1"/>
                <w:kern w:val="24"/>
                <w:sz w:val="18"/>
                <w:szCs w:val="18"/>
              </w:rPr>
              <w:t>US Equities</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BF7748" w:rsidRPr="008A6C64" w:rsidRDefault="00BF7748">
            <w:pPr>
              <w:pStyle w:val="NormalWeb"/>
              <w:spacing w:before="0" w:beforeAutospacing="0" w:after="0" w:afterAutospacing="0"/>
              <w:jc w:val="center"/>
              <w:textAlignment w:val="center"/>
              <w:rPr>
                <w:rFonts w:ascii="Arial" w:hAnsi="Arial" w:cs="Arial"/>
                <w:sz w:val="18"/>
                <w:szCs w:val="18"/>
              </w:rPr>
            </w:pPr>
            <w:r w:rsidRPr="008A6C64">
              <w:rPr>
                <w:rFonts w:ascii="Arial" w:eastAsia="MS PGothic" w:hAnsi="Arial" w:cs="MS PGothic"/>
                <w:b/>
                <w:bCs/>
                <w:color w:val="FFFFFF" w:themeColor="light1"/>
                <w:kern w:val="24"/>
                <w:sz w:val="18"/>
                <w:szCs w:val="18"/>
              </w:rPr>
              <w:t>EM Equities</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BF7748" w:rsidRPr="008A6C64" w:rsidRDefault="00BF7748">
            <w:pPr>
              <w:pStyle w:val="NormalWeb"/>
              <w:spacing w:before="0" w:beforeAutospacing="0" w:after="0" w:afterAutospacing="0"/>
              <w:jc w:val="center"/>
              <w:textAlignment w:val="center"/>
              <w:rPr>
                <w:rFonts w:ascii="Arial" w:hAnsi="Arial" w:cs="Arial"/>
                <w:sz w:val="18"/>
                <w:szCs w:val="18"/>
              </w:rPr>
            </w:pPr>
            <w:r w:rsidRPr="008A6C64">
              <w:rPr>
                <w:rFonts w:ascii="Arial" w:eastAsia="MS PGothic" w:hAnsi="Arial" w:cs="MS PGothic"/>
                <w:b/>
                <w:bCs/>
                <w:color w:val="FFFFFF" w:themeColor="light1"/>
                <w:kern w:val="24"/>
                <w:sz w:val="18"/>
                <w:szCs w:val="18"/>
              </w:rPr>
              <w:t>Asia Ex-JP Equities</w:t>
            </w:r>
          </w:p>
        </w:tc>
      </w:tr>
      <w:tr w:rsidR="00BF7748" w:rsidRPr="00BF7748" w:rsidTr="00BF7748">
        <w:trPr>
          <w:trHeight w:val="479"/>
        </w:trPr>
        <w:tc>
          <w:tcPr>
            <w:tcW w:w="891" w:type="dxa"/>
            <w:tcBorders>
              <w:top w:val="single" w:sz="24" w:space="0" w:color="FFFFFF"/>
              <w:left w:val="single" w:sz="8" w:space="0" w:color="FFFFFF"/>
              <w:bottom w:val="single" w:sz="8" w:space="0" w:color="FFFFFF"/>
              <w:right w:val="single" w:sz="8" w:space="0" w:color="FFFFFF"/>
            </w:tcBorders>
            <w:shd w:val="clear" w:color="auto" w:fill="CBDDF0"/>
            <w:tcMar>
              <w:top w:w="66" w:type="dxa"/>
              <w:left w:w="40" w:type="dxa"/>
              <w:bottom w:w="66" w:type="dxa"/>
              <w:right w:w="40" w:type="dxa"/>
            </w:tcMar>
            <w:vAlign w:val="center"/>
            <w:hideMark/>
          </w:tcPr>
          <w:p w:rsidR="00BF7748" w:rsidRPr="00BF7748" w:rsidRDefault="00BF7748">
            <w:pPr>
              <w:pStyle w:val="NormalWeb"/>
              <w:spacing w:before="0" w:beforeAutospacing="0" w:after="0" w:afterAutospacing="0"/>
              <w:rPr>
                <w:rFonts w:ascii="Arial" w:hAnsi="Arial" w:cs="Arial"/>
                <w:sz w:val="18"/>
                <w:szCs w:val="18"/>
              </w:rPr>
            </w:pPr>
            <w:r w:rsidRPr="00BF7748">
              <w:rPr>
                <w:rFonts w:ascii="Arial" w:eastAsia="MS PGothic" w:hAnsi="Arial" w:cs="MS PGothic"/>
                <w:color w:val="000000" w:themeColor="dark1"/>
                <w:kern w:val="24"/>
                <w:sz w:val="18"/>
                <w:szCs w:val="18"/>
              </w:rPr>
              <w:t>Annualised Return</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2.2%</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4.5%</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7.2%</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3.0%</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7.3%</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4.5%</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8.9%</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6.0%</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5.7%</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8.4%</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12.9%</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2.4%</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4.9%</w:t>
            </w:r>
          </w:p>
        </w:tc>
      </w:tr>
      <w:tr w:rsidR="00BF7748" w:rsidRPr="00BF7748" w:rsidTr="00BF7748">
        <w:trPr>
          <w:trHeight w:val="479"/>
        </w:trPr>
        <w:tc>
          <w:tcPr>
            <w:tcW w:w="891" w:type="dxa"/>
            <w:tcBorders>
              <w:top w:val="single" w:sz="8" w:space="0" w:color="FFFFFF"/>
              <w:left w:val="single" w:sz="8" w:space="0" w:color="FFFFFF"/>
              <w:bottom w:val="single" w:sz="8" w:space="0" w:color="FFFFFF"/>
              <w:right w:val="single" w:sz="8" w:space="0" w:color="FFFFFF"/>
            </w:tcBorders>
            <w:shd w:val="clear" w:color="auto" w:fill="E7EFF8"/>
            <w:tcMar>
              <w:top w:w="66" w:type="dxa"/>
              <w:left w:w="40" w:type="dxa"/>
              <w:bottom w:w="66" w:type="dxa"/>
              <w:right w:w="40" w:type="dxa"/>
            </w:tcMar>
            <w:vAlign w:val="center"/>
            <w:hideMark/>
          </w:tcPr>
          <w:p w:rsidR="00BF7748" w:rsidRPr="00BF7748" w:rsidRDefault="00BF7748">
            <w:pPr>
              <w:pStyle w:val="NormalWeb"/>
              <w:spacing w:before="0" w:beforeAutospacing="0" w:after="0" w:afterAutospacing="0"/>
              <w:rPr>
                <w:rFonts w:ascii="Arial" w:hAnsi="Arial" w:cs="Arial"/>
                <w:sz w:val="18"/>
                <w:szCs w:val="18"/>
              </w:rPr>
            </w:pPr>
            <w:r w:rsidRPr="00BF7748">
              <w:rPr>
                <w:rFonts w:ascii="Arial" w:eastAsia="MS PGothic" w:hAnsi="Arial" w:cs="MS PGothic"/>
                <w:color w:val="000000" w:themeColor="dark1"/>
                <w:kern w:val="24"/>
                <w:sz w:val="18"/>
                <w:szCs w:val="18"/>
              </w:rPr>
              <w:t>Annualised Volatility</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2.8%</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3.6%</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6.4%</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2.8%</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5.8%</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3.4%</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7.0%</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6.3%</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4.8%</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13.1%</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12.0%</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17.3%</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16.5%</w:t>
            </w:r>
          </w:p>
        </w:tc>
      </w:tr>
      <w:tr w:rsidR="00BF7748" w:rsidRPr="00BF7748" w:rsidTr="00BF7748">
        <w:trPr>
          <w:trHeight w:val="291"/>
        </w:trPr>
        <w:tc>
          <w:tcPr>
            <w:tcW w:w="891" w:type="dxa"/>
            <w:tcBorders>
              <w:top w:val="single" w:sz="8" w:space="0" w:color="FFFFFF"/>
              <w:left w:val="single" w:sz="8" w:space="0" w:color="FFFFFF"/>
              <w:bottom w:val="single" w:sz="8" w:space="0" w:color="FFFFFF"/>
              <w:right w:val="single" w:sz="8" w:space="0" w:color="FFFFFF"/>
            </w:tcBorders>
            <w:shd w:val="clear" w:color="auto" w:fill="CBDDF0"/>
            <w:tcMar>
              <w:top w:w="66" w:type="dxa"/>
              <w:left w:w="40" w:type="dxa"/>
              <w:bottom w:w="66" w:type="dxa"/>
              <w:right w:w="40" w:type="dxa"/>
            </w:tcMar>
            <w:vAlign w:val="center"/>
            <w:hideMark/>
          </w:tcPr>
          <w:p w:rsidR="00BF7748" w:rsidRPr="00BF7748" w:rsidRDefault="00BF7748">
            <w:pPr>
              <w:rPr>
                <w:rFonts w:cs="Arial"/>
                <w:szCs w:val="18"/>
              </w:rPr>
            </w:pP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w:t>
            </w:r>
          </w:p>
        </w:tc>
      </w:tr>
      <w:tr w:rsidR="00BF7748" w:rsidRPr="00BF7748" w:rsidTr="00BF7748">
        <w:trPr>
          <w:trHeight w:val="356"/>
        </w:trPr>
        <w:tc>
          <w:tcPr>
            <w:tcW w:w="891" w:type="dxa"/>
            <w:tcBorders>
              <w:top w:val="single" w:sz="8" w:space="0" w:color="FFFFFF"/>
              <w:left w:val="single" w:sz="8" w:space="0" w:color="FFFFFF"/>
              <w:bottom w:val="single" w:sz="8" w:space="0" w:color="FFFFFF"/>
              <w:right w:val="single" w:sz="8" w:space="0" w:color="FFFFFF"/>
            </w:tcBorders>
            <w:shd w:val="clear" w:color="auto" w:fill="E7EFF8"/>
            <w:tcMar>
              <w:top w:w="66" w:type="dxa"/>
              <w:left w:w="40" w:type="dxa"/>
              <w:bottom w:w="66" w:type="dxa"/>
              <w:right w:w="40" w:type="dxa"/>
            </w:tcMar>
            <w:vAlign w:val="center"/>
            <w:hideMark/>
          </w:tcPr>
          <w:p w:rsidR="00BF7748" w:rsidRPr="00BF7748" w:rsidRDefault="00BF7748">
            <w:pPr>
              <w:pStyle w:val="NormalWeb"/>
              <w:spacing w:before="0" w:beforeAutospacing="0" w:after="0" w:afterAutospacing="0"/>
              <w:rPr>
                <w:rFonts w:ascii="Arial" w:hAnsi="Arial" w:cs="Arial"/>
                <w:sz w:val="18"/>
                <w:szCs w:val="18"/>
              </w:rPr>
            </w:pPr>
            <w:r w:rsidRPr="00BF7748">
              <w:rPr>
                <w:rFonts w:ascii="Arial" w:eastAsia="MS PGothic" w:hAnsi="Arial" w:cs="MS PGothic"/>
                <w:color w:val="000000" w:themeColor="dark1"/>
                <w:kern w:val="24"/>
                <w:sz w:val="18"/>
                <w:szCs w:val="18"/>
              </w:rPr>
              <w:t>Sharpe Ratio</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xml:space="preserve">0.6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xml:space="preserve">1.1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xml:space="preserve">1.0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xml:space="preserve">0.9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xml:space="preserve">1.2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xml:space="preserve">1.2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xml:space="preserve">1.2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xml:space="preserve">0.9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xml:space="preserve">1.1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xml:space="preserve">0.6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xml:space="preserve">1.0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xml:space="preserve">0.1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BF7748" w:rsidRPr="00BF7748" w:rsidRDefault="00BF7748">
            <w:pPr>
              <w:pStyle w:val="NormalWeb"/>
              <w:spacing w:before="0" w:beforeAutospacing="0" w:after="0" w:afterAutospacing="0"/>
              <w:jc w:val="center"/>
              <w:textAlignment w:val="bottom"/>
              <w:rPr>
                <w:rFonts w:ascii="Arial" w:hAnsi="Arial" w:cs="Arial"/>
                <w:sz w:val="18"/>
                <w:szCs w:val="18"/>
              </w:rPr>
            </w:pPr>
            <w:r w:rsidRPr="00BF7748">
              <w:rPr>
                <w:rFonts w:asciiTheme="minorHAnsi" w:eastAsiaTheme="minorEastAsia" w:hAnsi="Arial" w:cstheme="minorBidi"/>
                <w:color w:val="000000" w:themeColor="text1"/>
                <w:kern w:val="24"/>
                <w:sz w:val="18"/>
                <w:szCs w:val="18"/>
              </w:rPr>
              <w:t xml:space="preserve">0.3 </w:t>
            </w:r>
          </w:p>
        </w:tc>
      </w:tr>
    </w:tbl>
    <w:p w:rsidR="005D18E1" w:rsidRPr="00900FFB" w:rsidRDefault="005D18E1" w:rsidP="00073D87">
      <w:pPr>
        <w:spacing w:after="120" w:line="288" w:lineRule="auto"/>
        <w:rPr>
          <w:rFonts w:cs="Arial"/>
          <w:bCs/>
          <w:color w:val="000000" w:themeColor="text1"/>
          <w:kern w:val="32"/>
          <w:sz w:val="16"/>
          <w:szCs w:val="16"/>
        </w:rPr>
      </w:pPr>
      <w:r w:rsidRPr="00900FFB">
        <w:rPr>
          <w:rFonts w:cs="Arial"/>
          <w:bCs/>
          <w:color w:val="000000" w:themeColor="text1"/>
          <w:kern w:val="32"/>
          <w:sz w:val="16"/>
          <w:szCs w:val="16"/>
        </w:rPr>
        <w:t>Source:</w:t>
      </w:r>
      <w:r w:rsidR="005D79DB">
        <w:rPr>
          <w:rFonts w:cs="Arial"/>
          <w:bCs/>
          <w:color w:val="000000" w:themeColor="text1"/>
          <w:kern w:val="32"/>
          <w:sz w:val="16"/>
          <w:szCs w:val="16"/>
        </w:rPr>
        <w:t xml:space="preserve"> Bloomberg,</w:t>
      </w:r>
      <w:r w:rsidRPr="00900FFB">
        <w:rPr>
          <w:rFonts w:cs="Arial"/>
          <w:bCs/>
          <w:color w:val="000000" w:themeColor="text1"/>
          <w:kern w:val="32"/>
          <w:sz w:val="16"/>
          <w:szCs w:val="16"/>
        </w:rPr>
        <w:t xml:space="preserve"> First State Investments, JP Morgan, Barclays, and MSCI as of </w:t>
      </w:r>
      <w:r w:rsidR="00AC7032">
        <w:rPr>
          <w:rFonts w:cs="Arial"/>
          <w:bCs/>
          <w:color w:val="000000" w:themeColor="text1"/>
          <w:kern w:val="32"/>
          <w:sz w:val="16"/>
          <w:szCs w:val="16"/>
        </w:rPr>
        <w:t xml:space="preserve">for the period of </w:t>
      </w:r>
      <w:r w:rsidR="00BF7748">
        <w:rPr>
          <w:rFonts w:cs="Arial"/>
          <w:bCs/>
          <w:color w:val="000000" w:themeColor="text1"/>
          <w:kern w:val="32"/>
          <w:sz w:val="16"/>
          <w:szCs w:val="16"/>
        </w:rPr>
        <w:t>since post GFC</w:t>
      </w:r>
      <w:r w:rsidR="00AC7032">
        <w:rPr>
          <w:rFonts w:cs="Arial"/>
          <w:bCs/>
          <w:color w:val="000000" w:themeColor="text1"/>
          <w:kern w:val="32"/>
          <w:sz w:val="16"/>
          <w:szCs w:val="16"/>
        </w:rPr>
        <w:t xml:space="preserve"> (2009) to 31 October 2018</w:t>
      </w:r>
    </w:p>
    <w:p w:rsidR="005D18E1" w:rsidRPr="00900FFB" w:rsidRDefault="005D18E1" w:rsidP="007F54C7">
      <w:pPr>
        <w:jc w:val="center"/>
        <w:rPr>
          <w:rFonts w:eastAsia="MS PGothic" w:cs="Arial"/>
          <w:bCs/>
          <w:iCs/>
          <w:kern w:val="24"/>
          <w:sz w:val="16"/>
          <w:szCs w:val="16"/>
        </w:rPr>
      </w:pPr>
    </w:p>
    <w:p w:rsidR="00936CEE" w:rsidRPr="00900FFB" w:rsidRDefault="00936CEE" w:rsidP="007F54C7">
      <w:pPr>
        <w:rPr>
          <w:rFonts w:cs="Arial"/>
          <w:b/>
          <w:bCs/>
          <w:kern w:val="32"/>
          <w:sz w:val="22"/>
          <w:szCs w:val="32"/>
        </w:rPr>
      </w:pPr>
      <w:bookmarkStart w:id="6" w:name="_Toc449108521"/>
      <w:r w:rsidRPr="00900FFB">
        <w:rPr>
          <w:rFonts w:cs="Arial"/>
          <w:sz w:val="22"/>
        </w:rPr>
        <w:br w:type="page"/>
      </w:r>
    </w:p>
    <w:p w:rsidR="00BF7748" w:rsidRPr="00BF7748" w:rsidRDefault="00BF7748" w:rsidP="00BF7748">
      <w:pPr>
        <w:spacing w:after="60" w:line="280" w:lineRule="exact"/>
        <w:ind w:right="317"/>
        <w:jc w:val="both"/>
        <w:rPr>
          <w:rFonts w:cs="Arial"/>
          <w:b/>
          <w:color w:val="0A96D7"/>
          <w:sz w:val="22"/>
        </w:rPr>
      </w:pPr>
      <w:r w:rsidRPr="00BF7748">
        <w:rPr>
          <w:rFonts w:cs="Arial"/>
          <w:b/>
          <w:color w:val="0A96D7"/>
          <w:sz w:val="22"/>
        </w:rPr>
        <w:lastRenderedPageBreak/>
        <w:t>Outlook 4Q 2018 for Asian Credit Market</w:t>
      </w:r>
    </w:p>
    <w:p w:rsidR="00E2776E" w:rsidRPr="00E2776E" w:rsidRDefault="00E2776E" w:rsidP="008A6C64">
      <w:pPr>
        <w:spacing w:line="276" w:lineRule="auto"/>
        <w:jc w:val="both"/>
        <w:rPr>
          <w:rFonts w:cs="Arial"/>
          <w:color w:val="000000" w:themeColor="text1"/>
          <w:sz w:val="20"/>
          <w:szCs w:val="20"/>
        </w:rPr>
      </w:pPr>
      <w:r w:rsidRPr="00E2776E">
        <w:rPr>
          <w:rFonts w:cs="Arial"/>
          <w:color w:val="000000" w:themeColor="text1"/>
          <w:sz w:val="20"/>
          <w:szCs w:val="20"/>
        </w:rPr>
        <w:t xml:space="preserve">As the US Fed continues to normalize interest rate, financing conditions globally will continue to tighten as it did in the past few quarters. Moreover, the ongoing trade war between the US and China will slow down global growth and dampen investors’ confidence. While it is difficult to predict how the trade war will pan out or whether the Fed will hike interest rates more aggressively, focusing on Asian corporates’ fundamentals does provide some optimism that many will be able to weather the storm. Across the investment grade universe, key measures such as EBITDA and net income margins have improved over the last three years. Debt ratios have also come off while liquidity remains ample with the average cash level at more than 30% of total debt. In the high yield space, the above mentioned metrics have also started to improve since 2017, following several years of deterioration. Hence barring a complete meltdown on the trade war front and Asian currency depreciation </w:t>
      </w:r>
      <w:proofErr w:type="spellStart"/>
      <w:r w:rsidRPr="00E2776E">
        <w:rPr>
          <w:rFonts w:cs="Arial"/>
          <w:color w:val="000000" w:themeColor="text1"/>
          <w:sz w:val="20"/>
          <w:szCs w:val="20"/>
        </w:rPr>
        <w:t>spiraling</w:t>
      </w:r>
      <w:proofErr w:type="spellEnd"/>
      <w:r w:rsidRPr="00E2776E">
        <w:rPr>
          <w:rFonts w:cs="Arial"/>
          <w:color w:val="000000" w:themeColor="text1"/>
          <w:sz w:val="20"/>
          <w:szCs w:val="20"/>
        </w:rPr>
        <w:t xml:space="preserve"> out of control, Asia as a region is still expected to grow at a decent rate that is well above its peers. This will likely provide strong support for the improving credit trends and translate into positive rating actions.</w:t>
      </w:r>
    </w:p>
    <w:p w:rsidR="00E2776E" w:rsidRPr="00E2776E" w:rsidRDefault="00E2776E" w:rsidP="008A6C64">
      <w:pPr>
        <w:spacing w:line="276" w:lineRule="auto"/>
        <w:jc w:val="both"/>
        <w:rPr>
          <w:rFonts w:cs="Arial"/>
          <w:color w:val="000000" w:themeColor="text1"/>
          <w:sz w:val="20"/>
          <w:szCs w:val="20"/>
        </w:rPr>
      </w:pPr>
    </w:p>
    <w:p w:rsidR="00E2776E" w:rsidRPr="00E2776E" w:rsidRDefault="00E2776E" w:rsidP="008A6C64">
      <w:pPr>
        <w:spacing w:line="276" w:lineRule="auto"/>
        <w:jc w:val="both"/>
        <w:rPr>
          <w:rFonts w:cs="Arial"/>
          <w:color w:val="000000" w:themeColor="text1"/>
          <w:sz w:val="20"/>
          <w:szCs w:val="20"/>
        </w:rPr>
      </w:pPr>
      <w:r w:rsidRPr="00E2776E">
        <w:rPr>
          <w:rFonts w:cs="Arial"/>
          <w:color w:val="000000" w:themeColor="text1"/>
          <w:sz w:val="20"/>
          <w:szCs w:val="20"/>
        </w:rPr>
        <w:t xml:space="preserve">The rally in credit we anticipated in our Q2 outlook did materialized. JACI IG spread as at end of 3rd quarter was about 10bps tighter than the wide this year. While it is still around 30bps tighter than the post crisis average, the all in yield is now at a post crisis high following the recent run up in treasury yield. This should increase demand for Asian bonds amongst the long term investors and lifers. Asian IG bonds also offer a yield pickup of up to 50bps vs US peers, further supporting its attractiveness. Asian high yield spread has also tightened in Q3 by approximately 50bps from an oversold territory. While the spread pickup vs US HY has increased, bringing it closer to historical average, we are mindful of the idiosyncratic risks that is omnipresent amid the tightening of financial conditions. Spike in oil price will also likely bring about another bout of volatility. Despite expectations of a pickup in supply post China’s Golden week in October, we do think deal size and pricing will be </w:t>
      </w:r>
      <w:proofErr w:type="spellStart"/>
      <w:r w:rsidRPr="00E2776E">
        <w:rPr>
          <w:rFonts w:cs="Arial"/>
          <w:color w:val="000000" w:themeColor="text1"/>
          <w:sz w:val="20"/>
          <w:szCs w:val="20"/>
        </w:rPr>
        <w:t>favorable</w:t>
      </w:r>
      <w:proofErr w:type="spellEnd"/>
      <w:r w:rsidRPr="00E2776E">
        <w:rPr>
          <w:rFonts w:cs="Arial"/>
          <w:color w:val="000000" w:themeColor="text1"/>
          <w:sz w:val="20"/>
          <w:szCs w:val="20"/>
        </w:rPr>
        <w:t xml:space="preserve"> for investors against the current backdrop of an uncertain economic outlook. Hence we believe total supply for the year will come in lower than previous year’s level, providing market with a balanced technical backdrop.</w:t>
      </w:r>
    </w:p>
    <w:p w:rsidR="00E2776E" w:rsidRPr="00E2776E" w:rsidRDefault="00E2776E" w:rsidP="008A6C64">
      <w:pPr>
        <w:spacing w:line="276" w:lineRule="auto"/>
        <w:rPr>
          <w:rFonts w:cs="Arial"/>
          <w:color w:val="000000" w:themeColor="text1"/>
          <w:sz w:val="20"/>
          <w:szCs w:val="20"/>
        </w:rPr>
      </w:pPr>
    </w:p>
    <w:p w:rsidR="00A57D29" w:rsidRPr="00CD5EB3" w:rsidRDefault="00A57D29" w:rsidP="00CD5EB3">
      <w:pPr>
        <w:spacing w:line="276" w:lineRule="auto"/>
        <w:jc w:val="both"/>
        <w:rPr>
          <w:rFonts w:cs="Arial"/>
          <w:color w:val="000000" w:themeColor="text1"/>
          <w:sz w:val="20"/>
          <w:szCs w:val="20"/>
        </w:rPr>
      </w:pPr>
      <w:r w:rsidRPr="00A57D29">
        <w:rPr>
          <w:noProof/>
          <w:lang w:val="en-US" w:eastAsia="zh-TW"/>
        </w:rPr>
        <w:drawing>
          <wp:anchor distT="0" distB="0" distL="114300" distR="114300" simplePos="0" relativeHeight="251704832" behindDoc="0" locked="0" layoutInCell="1" allowOverlap="1">
            <wp:simplePos x="0" y="0"/>
            <wp:positionH relativeFrom="margin">
              <wp:align>right</wp:align>
            </wp:positionH>
            <wp:positionV relativeFrom="paragraph">
              <wp:posOffset>598170</wp:posOffset>
            </wp:positionV>
            <wp:extent cx="6696075" cy="22288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9607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76E" w:rsidRPr="00E2776E">
        <w:rPr>
          <w:rFonts w:cs="Arial"/>
          <w:color w:val="000000" w:themeColor="text1"/>
          <w:sz w:val="20"/>
          <w:szCs w:val="20"/>
        </w:rPr>
        <w:t>Uncertainty remains, caution warranted. Stick to quality and fundamentals is still the way to ride through any storms. We would look to add more US treasuries is sell-off continues, be selective and hold a diversified portfolio of credits with strong fundamentals and avoid local currency bonds as we expect more volatility ahead.</w:t>
      </w:r>
    </w:p>
    <w:p w:rsidR="00BF7748" w:rsidRPr="002D54E2" w:rsidRDefault="00BF7748" w:rsidP="00BF7748">
      <w:pPr>
        <w:spacing w:after="60" w:line="280" w:lineRule="exact"/>
        <w:ind w:right="317"/>
        <w:jc w:val="both"/>
        <w:rPr>
          <w:rFonts w:cs="Arial"/>
          <w:bCs/>
          <w:color w:val="000000" w:themeColor="text1"/>
          <w:kern w:val="32"/>
          <w:sz w:val="16"/>
          <w:szCs w:val="16"/>
        </w:rPr>
      </w:pPr>
      <w:r w:rsidRPr="002D54E2">
        <w:rPr>
          <w:rFonts w:cs="Arial"/>
          <w:bCs/>
          <w:color w:val="000000" w:themeColor="text1"/>
          <w:kern w:val="32"/>
          <w:sz w:val="16"/>
          <w:szCs w:val="16"/>
        </w:rPr>
        <w:t>Source: JP Morgan, Bloomberg as of 31 October 2018</w:t>
      </w:r>
    </w:p>
    <w:p w:rsidR="00BF7748" w:rsidRDefault="00BF7748" w:rsidP="00BF7748">
      <w:pPr>
        <w:spacing w:after="60" w:line="280" w:lineRule="exact"/>
        <w:ind w:right="317"/>
        <w:jc w:val="both"/>
        <w:rPr>
          <w:rFonts w:cs="Arial"/>
          <w:b/>
          <w:color w:val="000000" w:themeColor="text1"/>
          <w:sz w:val="20"/>
          <w:szCs w:val="20"/>
        </w:rPr>
      </w:pPr>
    </w:p>
    <w:p w:rsidR="00BF7748" w:rsidRDefault="00BF7748" w:rsidP="00741365">
      <w:pPr>
        <w:spacing w:after="240" w:line="288" w:lineRule="auto"/>
        <w:ind w:right="323"/>
        <w:jc w:val="both"/>
        <w:rPr>
          <w:rFonts w:cs="Arial"/>
          <w:b/>
          <w:color w:val="0A96D7"/>
          <w:sz w:val="22"/>
        </w:rPr>
      </w:pPr>
    </w:p>
    <w:p w:rsidR="00BF7748" w:rsidRDefault="00BF7748" w:rsidP="00741365">
      <w:pPr>
        <w:spacing w:after="240" w:line="288" w:lineRule="auto"/>
        <w:ind w:right="323"/>
        <w:jc w:val="both"/>
        <w:rPr>
          <w:rFonts w:cs="Arial"/>
          <w:b/>
          <w:color w:val="0A96D7"/>
          <w:sz w:val="22"/>
        </w:rPr>
      </w:pPr>
    </w:p>
    <w:p w:rsidR="00BF7748" w:rsidRDefault="00BF7748" w:rsidP="00741365">
      <w:pPr>
        <w:spacing w:after="240" w:line="288" w:lineRule="auto"/>
        <w:ind w:right="323"/>
        <w:jc w:val="both"/>
        <w:rPr>
          <w:rFonts w:cs="Arial"/>
          <w:b/>
          <w:color w:val="0A96D7"/>
          <w:sz w:val="22"/>
        </w:rPr>
      </w:pPr>
    </w:p>
    <w:p w:rsidR="00B52077" w:rsidRDefault="00B52077" w:rsidP="00741365">
      <w:pPr>
        <w:spacing w:after="240" w:line="288" w:lineRule="auto"/>
        <w:ind w:right="323"/>
        <w:jc w:val="both"/>
        <w:rPr>
          <w:rFonts w:cs="Arial"/>
          <w:b/>
          <w:color w:val="0A96D7"/>
          <w:sz w:val="22"/>
        </w:rPr>
      </w:pPr>
    </w:p>
    <w:p w:rsidR="00B52077" w:rsidRDefault="00B52077" w:rsidP="00741365">
      <w:pPr>
        <w:spacing w:after="240" w:line="288" w:lineRule="auto"/>
        <w:ind w:right="323"/>
        <w:jc w:val="both"/>
        <w:rPr>
          <w:rFonts w:cs="Arial"/>
          <w:b/>
          <w:color w:val="0A96D7"/>
          <w:sz w:val="22"/>
        </w:rPr>
      </w:pPr>
    </w:p>
    <w:p w:rsidR="00B52077" w:rsidRDefault="00B52077" w:rsidP="00741365">
      <w:pPr>
        <w:spacing w:after="240" w:line="288" w:lineRule="auto"/>
        <w:ind w:right="323"/>
        <w:jc w:val="both"/>
        <w:rPr>
          <w:rFonts w:cs="Arial"/>
          <w:b/>
          <w:color w:val="0A96D7"/>
          <w:sz w:val="22"/>
        </w:rPr>
      </w:pPr>
      <w:r>
        <w:rPr>
          <w:rFonts w:cs="Arial"/>
          <w:b/>
          <w:color w:val="0A96D7"/>
          <w:sz w:val="22"/>
        </w:rPr>
        <w:lastRenderedPageBreak/>
        <w:t>Disclaimer</w:t>
      </w:r>
    </w:p>
    <w:p w:rsidR="00B52077" w:rsidRPr="00B52077" w:rsidRDefault="00B52077" w:rsidP="00B52077">
      <w:pPr>
        <w:jc w:val="both"/>
        <w:rPr>
          <w:rFonts w:cs="Arial"/>
          <w:color w:val="000000" w:themeColor="text1"/>
          <w:sz w:val="20"/>
          <w:szCs w:val="20"/>
        </w:rPr>
      </w:pPr>
      <w:r w:rsidRPr="00B52077">
        <w:rPr>
          <w:rFonts w:cs="Arial"/>
          <w:color w:val="000000" w:themeColor="text1"/>
          <w:sz w:val="20"/>
          <w:szCs w:val="20"/>
        </w:rPr>
        <w:t>Private and confidential. The material is prepared for</w:t>
      </w:r>
      <w:r w:rsidR="00052DE0">
        <w:rPr>
          <w:rFonts w:cs="Arial"/>
          <w:color w:val="000000" w:themeColor="text1"/>
          <w:sz w:val="20"/>
          <w:szCs w:val="20"/>
        </w:rPr>
        <w:t xml:space="preserve"> 2018</w:t>
      </w:r>
      <w:r w:rsidRPr="00B52077">
        <w:rPr>
          <w:rFonts w:cs="Arial"/>
          <w:color w:val="000000" w:themeColor="text1"/>
          <w:sz w:val="20"/>
          <w:szCs w:val="20"/>
        </w:rPr>
        <w:t xml:space="preserve"> </w:t>
      </w:r>
      <w:r>
        <w:rPr>
          <w:rFonts w:cs="Arial"/>
          <w:color w:val="000000" w:themeColor="text1"/>
          <w:sz w:val="20"/>
          <w:szCs w:val="20"/>
        </w:rPr>
        <w:t xml:space="preserve">APIC </w:t>
      </w:r>
      <w:r w:rsidR="00052DE0">
        <w:rPr>
          <w:rFonts w:cs="Arial"/>
          <w:color w:val="000000" w:themeColor="text1"/>
          <w:sz w:val="20"/>
          <w:szCs w:val="20"/>
        </w:rPr>
        <w:t xml:space="preserve">China Regional Pension Funds &amp; Social Security Systems Summit </w:t>
      </w:r>
      <w:r w:rsidRPr="00B52077">
        <w:rPr>
          <w:rFonts w:cs="Arial"/>
          <w:color w:val="000000" w:themeColor="text1"/>
          <w:sz w:val="20"/>
          <w:szCs w:val="20"/>
        </w:rPr>
        <w:t>as reference to the presentation.</w:t>
      </w:r>
    </w:p>
    <w:p w:rsidR="00B52077" w:rsidRPr="00B52077" w:rsidRDefault="00B52077" w:rsidP="00B52077">
      <w:pPr>
        <w:jc w:val="both"/>
        <w:rPr>
          <w:rFonts w:cs="Arial"/>
          <w:color w:val="000000" w:themeColor="text1"/>
          <w:sz w:val="20"/>
          <w:szCs w:val="20"/>
        </w:rPr>
      </w:pPr>
    </w:p>
    <w:p w:rsidR="00B52077" w:rsidRPr="00B52077" w:rsidRDefault="00B52077" w:rsidP="00B52077">
      <w:pPr>
        <w:jc w:val="both"/>
        <w:rPr>
          <w:rFonts w:cs="Arial"/>
          <w:color w:val="000000" w:themeColor="text1"/>
          <w:sz w:val="20"/>
          <w:szCs w:val="20"/>
        </w:rPr>
      </w:pPr>
      <w:r w:rsidRPr="00B52077">
        <w:rPr>
          <w:rFonts w:cs="Arial"/>
          <w:color w:val="000000" w:themeColor="text1"/>
          <w:sz w:val="20"/>
          <w:szCs w:val="20"/>
        </w:rPr>
        <w:t xml:space="preserve">The information contained within this document has been obtained from sources that First State Investments (“FSI”) believes to be reliable and accurate at the time of issue but no representation or warranty, expressed or implied, is made as to the fairness, accuracy, completeness or correctness of the information.  Neither FSI, nor any of its associates, nor any director, officer or employee accepts any liability whatsoever for any loss arising directly or indirectly from any use of this.  This document is intended solely for distribution to professional/institutional investors as may be defined in the relevant jurisdiction and is not intended for distribution to the public.  The information herein is for information purposes only; it does not constitute investment advice and/or recommendation, and should not be used as the basis of any investment decision. </w:t>
      </w:r>
    </w:p>
    <w:p w:rsidR="00B52077" w:rsidRPr="00B52077" w:rsidRDefault="00B52077" w:rsidP="00B52077">
      <w:pPr>
        <w:jc w:val="both"/>
        <w:rPr>
          <w:rFonts w:cs="Arial"/>
          <w:color w:val="000000" w:themeColor="text1"/>
          <w:sz w:val="20"/>
          <w:szCs w:val="20"/>
        </w:rPr>
      </w:pPr>
    </w:p>
    <w:p w:rsidR="00B52077" w:rsidRPr="00B52077" w:rsidRDefault="00B52077" w:rsidP="00B52077">
      <w:pPr>
        <w:jc w:val="both"/>
        <w:rPr>
          <w:rFonts w:cs="Arial"/>
          <w:color w:val="000000" w:themeColor="text1"/>
          <w:sz w:val="20"/>
          <w:szCs w:val="20"/>
        </w:rPr>
      </w:pPr>
      <w:r w:rsidRPr="00B52077">
        <w:rPr>
          <w:rFonts w:cs="Arial"/>
          <w:color w:val="000000" w:themeColor="text1"/>
          <w:sz w:val="20"/>
          <w:szCs w:val="20"/>
        </w:rPr>
        <w:t xml:space="preserve">The value of investments and the income from them may go down as well as up and you may not get back your original investment.  Past performance is not necessarily a guide to future performance.  Please refer to the offering documents for details, including the risk factors. </w:t>
      </w:r>
    </w:p>
    <w:p w:rsidR="00B52077" w:rsidRPr="00B52077" w:rsidRDefault="00B52077" w:rsidP="00B52077">
      <w:pPr>
        <w:jc w:val="both"/>
        <w:rPr>
          <w:rFonts w:cs="Arial"/>
          <w:color w:val="000000" w:themeColor="text1"/>
          <w:sz w:val="20"/>
          <w:szCs w:val="20"/>
        </w:rPr>
      </w:pPr>
    </w:p>
    <w:p w:rsidR="00B52077" w:rsidRPr="00B52077" w:rsidRDefault="00B52077" w:rsidP="00B52077">
      <w:pPr>
        <w:jc w:val="both"/>
        <w:rPr>
          <w:rFonts w:cs="Arial"/>
          <w:color w:val="000000" w:themeColor="text1"/>
          <w:sz w:val="20"/>
          <w:szCs w:val="20"/>
        </w:rPr>
      </w:pPr>
      <w:r w:rsidRPr="00B52077">
        <w:rPr>
          <w:rFonts w:cs="Arial"/>
          <w:color w:val="000000" w:themeColor="text1"/>
          <w:sz w:val="20"/>
          <w:szCs w:val="20"/>
        </w:rPr>
        <w:t xml:space="preserve">This document/the information may not be reproduced in whole or in part without the prior consent of FSI.  This document shall only be used and/or received in accordance with the applicable laws in the relevant jurisdiction. </w:t>
      </w:r>
    </w:p>
    <w:p w:rsidR="00B52077" w:rsidRPr="00B52077" w:rsidRDefault="00B52077" w:rsidP="00B52077">
      <w:pPr>
        <w:jc w:val="both"/>
        <w:rPr>
          <w:rFonts w:cs="Arial"/>
          <w:color w:val="000000" w:themeColor="text1"/>
          <w:sz w:val="20"/>
          <w:szCs w:val="20"/>
        </w:rPr>
      </w:pPr>
    </w:p>
    <w:p w:rsidR="00B52077" w:rsidRPr="00B52077" w:rsidRDefault="00B52077" w:rsidP="00B52077">
      <w:pPr>
        <w:jc w:val="both"/>
        <w:rPr>
          <w:rFonts w:cs="Arial"/>
          <w:color w:val="000000" w:themeColor="text1"/>
          <w:sz w:val="20"/>
          <w:szCs w:val="20"/>
        </w:rPr>
      </w:pPr>
      <w:r w:rsidRPr="00B52077">
        <w:rPr>
          <w:rFonts w:cs="Arial"/>
          <w:color w:val="000000" w:themeColor="text1"/>
          <w:sz w:val="20"/>
          <w:szCs w:val="20"/>
        </w:rPr>
        <w:t>No invitation to offer, or offer for, or sale of, the private investment will be made to the public in China (which, for such purposes, does not include the Hong Kong or Macau Special Administrative Regions or Taiwan) or by any means that would be deemed public under the laws and regulations of China.  This document has not been reviewed by the China Securities Regulatory Commission or any other relevant governmental authorities in China.  The private investment may only be offered or sold to experienced and professional Chinese investors or investors resident in China (collectively “Chinese Investors”) who are capable of identifying and tolerating the risks and who will consult their advisers and take all relevant factors into account before making an investment. The private investment may only be offered or sold to Chinese Investors who are authorized to buy and sell private securities in foreign entities and securities denominated in foreign currencies.  Potential Chinese Investors are responsible for obtaining all relevant approvals from, and completing all relevant registration or other procedures with, the relevant Chinese government authorities, including but not limited to the National Development and Reform Commission, Ministry of Commence, State Administration of Foreign Exchange, before making the investment.</w:t>
      </w:r>
    </w:p>
    <w:p w:rsidR="00B52077" w:rsidRPr="00B52077" w:rsidRDefault="00B52077" w:rsidP="00B52077">
      <w:pPr>
        <w:jc w:val="both"/>
        <w:rPr>
          <w:rFonts w:cs="Arial"/>
          <w:color w:val="000000" w:themeColor="text1"/>
          <w:sz w:val="20"/>
          <w:szCs w:val="20"/>
        </w:rPr>
      </w:pPr>
    </w:p>
    <w:p w:rsidR="00B52077" w:rsidRPr="00B52077" w:rsidRDefault="00B52077" w:rsidP="00B52077">
      <w:pPr>
        <w:jc w:val="both"/>
        <w:rPr>
          <w:rFonts w:cs="Arial"/>
          <w:color w:val="000000" w:themeColor="text1"/>
          <w:sz w:val="20"/>
          <w:szCs w:val="20"/>
        </w:rPr>
      </w:pPr>
      <w:r w:rsidRPr="00B52077">
        <w:rPr>
          <w:rFonts w:cs="Arial"/>
          <w:color w:val="000000" w:themeColor="text1"/>
          <w:sz w:val="20"/>
          <w:szCs w:val="20"/>
        </w:rPr>
        <w:t>This document and any accompanying documents are for the use of intended recipients only who receive these documents directly from FSI and these documents may not be reproduced, distributed or published in whole or in part in any way whatsoever for any purpose without prior written consent of FSI. Recipients, by their acceptance and retention of this document and any accompanying documents, acknowledge and agree to preserve the confidentiality of the contents of this document and such accompanying documents.</w:t>
      </w:r>
    </w:p>
    <w:p w:rsidR="00B52077" w:rsidRPr="00B52077" w:rsidRDefault="00B52077" w:rsidP="00B52077">
      <w:pPr>
        <w:jc w:val="both"/>
        <w:rPr>
          <w:rFonts w:cs="Arial"/>
          <w:color w:val="000000" w:themeColor="text1"/>
          <w:sz w:val="20"/>
          <w:szCs w:val="20"/>
        </w:rPr>
      </w:pPr>
    </w:p>
    <w:p w:rsidR="00B52077" w:rsidRPr="00B52077" w:rsidRDefault="00B52077" w:rsidP="00B52077">
      <w:pPr>
        <w:jc w:val="both"/>
        <w:rPr>
          <w:rFonts w:cs="Arial"/>
          <w:color w:val="000000" w:themeColor="text1"/>
          <w:sz w:val="20"/>
          <w:szCs w:val="20"/>
        </w:rPr>
      </w:pPr>
      <w:r w:rsidRPr="00B52077">
        <w:rPr>
          <w:rFonts w:cs="Arial"/>
          <w:color w:val="000000" w:themeColor="text1"/>
          <w:sz w:val="20"/>
          <w:szCs w:val="20"/>
        </w:rPr>
        <w:t>Commonwealth Bank of Australia (the “Bank”) and its subsidiaries are not responsible for any statement or information contained in this document. Neither the Bank nor any of its subsidiaries guarantee the performance of any investment or entity referred to in this document or the repayment of capital. Any investments referred to are not deposits or other liabilities of the Bank or its subsidiaries, and are subject to investment risk, including loss of income and capital invested.</w:t>
      </w:r>
    </w:p>
    <w:p w:rsidR="00B52077" w:rsidRPr="00B52077" w:rsidRDefault="00B52077" w:rsidP="00B52077">
      <w:pPr>
        <w:rPr>
          <w:rFonts w:ascii="Calibri" w:eastAsia="PMingLiU" w:hAnsi="Calibri"/>
          <w:color w:val="1F497D"/>
          <w:sz w:val="22"/>
          <w:lang w:val="en-US" w:eastAsia="zh-TW"/>
        </w:rPr>
      </w:pPr>
    </w:p>
    <w:p w:rsidR="00B52077" w:rsidRPr="00B52077" w:rsidRDefault="00B52077" w:rsidP="00741365">
      <w:pPr>
        <w:spacing w:after="240" w:line="288" w:lineRule="auto"/>
        <w:ind w:right="323"/>
        <w:jc w:val="both"/>
        <w:rPr>
          <w:rFonts w:cs="Arial"/>
          <w:b/>
          <w:color w:val="0A96D7"/>
          <w:sz w:val="22"/>
          <w:lang w:val="en-US"/>
        </w:rPr>
      </w:pPr>
    </w:p>
    <w:p w:rsidR="00CD5EB3" w:rsidRDefault="00CD5EB3" w:rsidP="00741365">
      <w:pPr>
        <w:spacing w:after="240" w:line="288" w:lineRule="auto"/>
        <w:ind w:right="323"/>
        <w:jc w:val="both"/>
        <w:rPr>
          <w:rFonts w:cs="Arial"/>
          <w:b/>
          <w:color w:val="0A96D7"/>
          <w:sz w:val="22"/>
        </w:rPr>
      </w:pPr>
    </w:p>
    <w:bookmarkEnd w:id="6"/>
    <w:p w:rsidR="0065195E" w:rsidRPr="0038780F" w:rsidRDefault="0065195E" w:rsidP="0038780F">
      <w:pPr>
        <w:spacing w:before="168"/>
        <w:ind w:right="90"/>
        <w:rPr>
          <w:rFonts w:eastAsia="MS PGothic" w:cs="Arial"/>
          <w:bCs/>
          <w:iCs/>
          <w:kern w:val="24"/>
          <w:sz w:val="20"/>
          <w:szCs w:val="20"/>
          <w:lang w:eastAsia="en-AU"/>
        </w:rPr>
      </w:pPr>
    </w:p>
    <w:sectPr w:rsidR="0065195E" w:rsidRPr="0038780F" w:rsidSect="00900FFB">
      <w:headerReference w:type="first" r:id="rId21"/>
      <w:pgSz w:w="11906" w:h="16838" w:code="9"/>
      <w:pgMar w:top="680" w:right="680" w:bottom="709" w:left="680" w:header="709" w:footer="294"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598" w:rsidRDefault="009F4598" w:rsidP="00997830">
      <w:r>
        <w:separator/>
      </w:r>
    </w:p>
  </w:endnote>
  <w:endnote w:type="continuationSeparator" w:id="0">
    <w:p w:rsidR="009F4598" w:rsidRDefault="009F4598" w:rsidP="0099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otesque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PraxisEFSemiBold">
    <w:panose1 w:val="00000400000000000000"/>
    <w:charset w:val="00"/>
    <w:family w:val="auto"/>
    <w:pitch w:val="variable"/>
    <w:sig w:usb0="00000083" w:usb1="00000000" w:usb2="00000000" w:usb3="00000000" w:csb0="00000009"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789424"/>
      <w:docPartObj>
        <w:docPartGallery w:val="Page Numbers (Bottom of Page)"/>
        <w:docPartUnique/>
      </w:docPartObj>
    </w:sdtPr>
    <w:sdtEndPr/>
    <w:sdtContent>
      <w:p w:rsidR="009F4598" w:rsidRDefault="009F4598" w:rsidP="008F5251">
        <w:pPr>
          <w:pStyle w:val="Footer"/>
          <w:jc w:val="center"/>
        </w:pPr>
        <w:r>
          <w:fldChar w:fldCharType="begin"/>
        </w:r>
        <w:r>
          <w:instrText xml:space="preserve"> PAGE   \* MERGEFORMAT </w:instrText>
        </w:r>
        <w:r>
          <w:fldChar w:fldCharType="separate"/>
        </w:r>
        <w:r w:rsidR="00D20C22">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598" w:rsidRDefault="009F4598" w:rsidP="00997830">
      <w:r>
        <w:separator/>
      </w:r>
    </w:p>
  </w:footnote>
  <w:footnote w:type="continuationSeparator" w:id="0">
    <w:p w:rsidR="009F4598" w:rsidRDefault="009F4598" w:rsidP="00997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27" w:type="dxa"/>
      <w:jc w:val="center"/>
      <w:tblInd w:w="0" w:type="dxa"/>
      <w:tblBorders>
        <w:bottom w:val="none" w:sz="0" w:space="0" w:color="auto"/>
        <w:insideH w:val="none" w:sz="0" w:space="0" w:color="auto"/>
      </w:tblBorders>
      <w:shd w:val="clear" w:color="auto" w:fill="1E4164"/>
      <w:tblLook w:val="04A0" w:firstRow="1" w:lastRow="0" w:firstColumn="1" w:lastColumn="0" w:noHBand="0" w:noVBand="1"/>
    </w:tblPr>
    <w:tblGrid>
      <w:gridCol w:w="5613"/>
      <w:gridCol w:w="5614"/>
    </w:tblGrid>
    <w:tr w:rsidR="009F4598" w:rsidRPr="00165EDB" w:rsidTr="00694E75">
      <w:trPr>
        <w:cnfStyle w:val="100000000000" w:firstRow="1" w:lastRow="0" w:firstColumn="0" w:lastColumn="0" w:oddVBand="0" w:evenVBand="0" w:oddHBand="0" w:evenHBand="0" w:firstRowFirstColumn="0" w:firstRowLastColumn="0" w:lastRowFirstColumn="0" w:lastRowLastColumn="0"/>
        <w:trHeight w:val="454"/>
        <w:jc w:val="center"/>
      </w:trPr>
      <w:tc>
        <w:tcPr>
          <w:tcW w:w="5613" w:type="dxa"/>
          <w:shd w:val="clear" w:color="auto" w:fill="1E4164"/>
          <w:tcMar>
            <w:left w:w="0" w:type="dxa"/>
            <w:right w:w="0" w:type="dxa"/>
          </w:tcMar>
          <w:vAlign w:val="center"/>
        </w:tcPr>
        <w:p w:rsidR="009F4598" w:rsidRPr="00C3033F" w:rsidRDefault="009F4598" w:rsidP="00C3033F">
          <w:pPr>
            <w:ind w:left="340"/>
            <w:rPr>
              <w:rFonts w:cs="Arial"/>
              <w:color w:val="FFFFFF" w:themeColor="background1"/>
              <w:sz w:val="22"/>
            </w:rPr>
          </w:pPr>
          <w:r w:rsidRPr="00C3033F">
            <w:rPr>
              <w:rFonts w:cs="Arial"/>
              <w:color w:val="FFFFFF" w:themeColor="background1"/>
              <w:sz w:val="22"/>
            </w:rPr>
            <w:t>First State Investments</w:t>
          </w:r>
        </w:p>
      </w:tc>
      <w:tc>
        <w:tcPr>
          <w:tcW w:w="5614" w:type="dxa"/>
          <w:shd w:val="clear" w:color="auto" w:fill="1E4164"/>
          <w:vAlign w:val="center"/>
        </w:tcPr>
        <w:p w:rsidR="009F4598" w:rsidRPr="00DD549D" w:rsidRDefault="009F4598" w:rsidP="00C3033F">
          <w:pPr>
            <w:ind w:right="204"/>
            <w:jc w:val="right"/>
            <w:rPr>
              <w:rFonts w:ascii="PraxisEFSemiBold" w:hAnsi="PraxisEFSemiBold" w:cs="Arial"/>
              <w:color w:val="FFFFFF" w:themeColor="background1"/>
              <w:sz w:val="20"/>
            </w:rPr>
          </w:pPr>
        </w:p>
      </w:tc>
    </w:tr>
    <w:tr w:rsidR="009F4598" w:rsidRPr="00165EDB" w:rsidTr="00694E75">
      <w:trPr>
        <w:trHeight w:val="340"/>
        <w:jc w:val="center"/>
      </w:trPr>
      <w:tc>
        <w:tcPr>
          <w:tcW w:w="5613" w:type="dxa"/>
          <w:shd w:val="clear" w:color="auto" w:fill="auto"/>
          <w:tcMar>
            <w:left w:w="0" w:type="dxa"/>
            <w:right w:w="0" w:type="dxa"/>
          </w:tcMar>
          <w:vAlign w:val="center"/>
        </w:tcPr>
        <w:p w:rsidR="009F4598" w:rsidRPr="00737B75" w:rsidRDefault="009F4598" w:rsidP="00C3033F">
          <w:pPr>
            <w:ind w:left="340"/>
            <w:rPr>
              <w:rFonts w:ascii="PraxisEFSemiBold" w:hAnsi="PraxisEFSemiBold" w:cs="Arial"/>
              <w:color w:val="FFFFFF" w:themeColor="background1"/>
              <w:sz w:val="20"/>
            </w:rPr>
          </w:pPr>
          <w:r>
            <w:rPr>
              <w:noProof/>
              <w:lang w:val="en-US" w:eastAsia="zh-TW"/>
            </w:rPr>
            <mc:AlternateContent>
              <mc:Choice Requires="wps">
                <w:drawing>
                  <wp:anchor distT="0" distB="0" distL="114300" distR="114300" simplePos="0" relativeHeight="251659264" behindDoc="1" locked="0" layoutInCell="1" allowOverlap="1" wp14:anchorId="36CA7D99" wp14:editId="11413871">
                    <wp:simplePos x="0" y="0"/>
                    <wp:positionH relativeFrom="column">
                      <wp:posOffset>19050</wp:posOffset>
                    </wp:positionH>
                    <wp:positionV relativeFrom="paragraph">
                      <wp:posOffset>-38100</wp:posOffset>
                    </wp:positionV>
                    <wp:extent cx="7114540" cy="9360535"/>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4540" cy="936111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C5CBC" id="Rectangle 10" o:spid="_x0000_s1026" style="position:absolute;margin-left:1.5pt;margin-top:-3pt;width:560.2pt;height:73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" fillcolor="#f0f0f0" stroked="f"/>
                </w:pict>
              </mc:Fallback>
            </mc:AlternateContent>
          </w:r>
        </w:p>
      </w:tc>
      <w:tc>
        <w:tcPr>
          <w:tcW w:w="5614" w:type="dxa"/>
          <w:shd w:val="clear" w:color="auto" w:fill="auto"/>
          <w:vAlign w:val="center"/>
        </w:tcPr>
        <w:p w:rsidR="009F4598" w:rsidRPr="00DD549D" w:rsidRDefault="009F4598" w:rsidP="00C3033F">
          <w:pPr>
            <w:ind w:right="204"/>
            <w:jc w:val="right"/>
            <w:rPr>
              <w:rFonts w:ascii="PraxisEFSemiBold" w:hAnsi="PraxisEFSemiBold" w:cs="Arial"/>
              <w:color w:val="FFFFFF" w:themeColor="background1"/>
              <w:sz w:val="20"/>
            </w:rPr>
          </w:pPr>
        </w:p>
      </w:tc>
    </w:tr>
  </w:tbl>
  <w:p w:rsidR="009F4598" w:rsidRPr="00B12AA3" w:rsidRDefault="009F4598" w:rsidP="00C3033F">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1E4164"/>
      <w:tblLook w:val="04A0" w:firstRow="1" w:lastRow="0" w:firstColumn="1" w:lastColumn="0" w:noHBand="0" w:noVBand="1"/>
    </w:tblPr>
    <w:tblGrid>
      <w:gridCol w:w="10836"/>
    </w:tblGrid>
    <w:tr w:rsidR="009F4598" w:rsidRPr="00B5489C" w:rsidTr="005F37AC">
      <w:trPr>
        <w:trHeight w:val="454"/>
      </w:trPr>
      <w:tc>
        <w:tcPr>
          <w:tcW w:w="11442" w:type="dxa"/>
          <w:shd w:val="clear" w:color="auto" w:fill="1E4164"/>
          <w:vAlign w:val="center"/>
        </w:tcPr>
        <w:p w:rsidR="009F4598" w:rsidRPr="00B5489C" w:rsidRDefault="009F4598" w:rsidP="005F37AC">
          <w:pPr>
            <w:pStyle w:val="Header"/>
            <w:ind w:left="340"/>
            <w:rPr>
              <w:rFonts w:cs="Arial"/>
              <w:b/>
              <w:sz w:val="20"/>
            </w:rPr>
          </w:pPr>
          <w:r w:rsidRPr="00B5489C">
            <w:rPr>
              <w:rFonts w:cs="Arial"/>
              <w:b/>
              <w:sz w:val="20"/>
            </w:rPr>
            <w:t>Colonial First State Global Asset Management</w:t>
          </w:r>
        </w:p>
      </w:tc>
    </w:tr>
  </w:tbl>
  <w:p w:rsidR="009F4598" w:rsidRDefault="009F4598">
    <w:pPr>
      <w:pStyle w:val="Header"/>
    </w:pPr>
    <w:r>
      <w:rPr>
        <w:noProof/>
        <w:lang w:val="en-US" w:eastAsia="zh-TW"/>
      </w:rPr>
      <mc:AlternateContent>
        <mc:Choice Requires="wps">
          <w:drawing>
            <wp:anchor distT="0" distB="0" distL="114300" distR="114300" simplePos="0" relativeHeight="251657216" behindDoc="0" locked="0" layoutInCell="1" allowOverlap="1" wp14:anchorId="43D7461E" wp14:editId="34A9BAD3">
              <wp:simplePos x="0" y="0"/>
              <wp:positionH relativeFrom="column">
                <wp:posOffset>-52070</wp:posOffset>
              </wp:positionH>
              <wp:positionV relativeFrom="paragraph">
                <wp:posOffset>14605</wp:posOffset>
              </wp:positionV>
              <wp:extent cx="7250430" cy="9352915"/>
              <wp:effectExtent l="0" t="0" r="254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0430" cy="9352915"/>
                      </a:xfrm>
                      <a:prstGeom prst="rect">
                        <a:avLst/>
                      </a:prstGeom>
                      <a:solidFill>
                        <a:srgbClr val="F1F1F1"/>
                      </a:solidFill>
                      <a:ln>
                        <a:noFill/>
                      </a:ln>
                      <a:extLst>
                        <a:ext uri="{91240B29-F687-4F45-9708-019B960494DF}">
                          <a14:hiddenLine xmlns:a14="http://schemas.microsoft.com/office/drawing/2010/main" w="9525">
                            <a:solidFill>
                              <a:srgbClr val="1E4164"/>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4FD45" id="Rectangle 3" o:spid="_x0000_s1026" style="position:absolute;margin-left:-4.1pt;margin-top:1.15pt;width:570.9pt;height:73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" fillcolor="#f1f1f1" stroked="f" strokecolor="#1e416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74BD8"/>
    <w:multiLevelType w:val="hybridMultilevel"/>
    <w:tmpl w:val="90C8C8F2"/>
    <w:lvl w:ilvl="0" w:tplc="824065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C7654"/>
    <w:multiLevelType w:val="hybridMultilevel"/>
    <w:tmpl w:val="A466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F3BEE"/>
    <w:multiLevelType w:val="hybridMultilevel"/>
    <w:tmpl w:val="8BAE2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C6659"/>
    <w:multiLevelType w:val="hybridMultilevel"/>
    <w:tmpl w:val="46BE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3522E"/>
    <w:multiLevelType w:val="hybridMultilevel"/>
    <w:tmpl w:val="CCAA3714"/>
    <w:lvl w:ilvl="0" w:tplc="19A09184">
      <w:start w:val="1"/>
      <w:numFmt w:val="bullet"/>
      <w:lvlText w:val=""/>
      <w:lvlJc w:val="left"/>
      <w:pPr>
        <w:ind w:left="720" w:hanging="360"/>
      </w:pPr>
      <w:rPr>
        <w:rFonts w:ascii="Symbol" w:hAnsi="Symbol" w:hint="default"/>
        <w:color w:val="000000" w:themeColor="text1"/>
      </w:rPr>
    </w:lvl>
    <w:lvl w:ilvl="1" w:tplc="9BD26A12">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F79D1"/>
    <w:multiLevelType w:val="hybridMultilevel"/>
    <w:tmpl w:val="43FA28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11215"/>
    <w:multiLevelType w:val="hybridMultilevel"/>
    <w:tmpl w:val="0FE6379C"/>
    <w:lvl w:ilvl="0" w:tplc="ED125E72">
      <w:start w:val="1"/>
      <w:numFmt w:val="bullet"/>
      <w:pStyle w:val="RFP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3788E"/>
    <w:multiLevelType w:val="hybridMultilevel"/>
    <w:tmpl w:val="657E013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01DB1"/>
    <w:multiLevelType w:val="hybridMultilevel"/>
    <w:tmpl w:val="A9DE47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DEE4672"/>
    <w:multiLevelType w:val="hybridMultilevel"/>
    <w:tmpl w:val="AD3C6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DE2036"/>
    <w:multiLevelType w:val="hybridMultilevel"/>
    <w:tmpl w:val="C8169EE2"/>
    <w:lvl w:ilvl="0" w:tplc="0BB6BAE4">
      <w:start w:val="1"/>
      <w:numFmt w:val="bullet"/>
      <w:lvlText w:val="•"/>
      <w:lvlJc w:val="left"/>
      <w:pPr>
        <w:tabs>
          <w:tab w:val="num" w:pos="720"/>
        </w:tabs>
        <w:ind w:left="720" w:hanging="360"/>
      </w:pPr>
      <w:rPr>
        <w:rFonts w:ascii="Arial" w:hAnsi="Arial" w:hint="default"/>
      </w:rPr>
    </w:lvl>
    <w:lvl w:ilvl="1" w:tplc="3EAA8FCA" w:tentative="1">
      <w:start w:val="1"/>
      <w:numFmt w:val="bullet"/>
      <w:lvlText w:val="•"/>
      <w:lvlJc w:val="left"/>
      <w:pPr>
        <w:tabs>
          <w:tab w:val="num" w:pos="1440"/>
        </w:tabs>
        <w:ind w:left="1440" w:hanging="360"/>
      </w:pPr>
      <w:rPr>
        <w:rFonts w:ascii="Arial" w:hAnsi="Arial" w:hint="default"/>
      </w:rPr>
    </w:lvl>
    <w:lvl w:ilvl="2" w:tplc="BE5C3FBE" w:tentative="1">
      <w:start w:val="1"/>
      <w:numFmt w:val="bullet"/>
      <w:lvlText w:val="•"/>
      <w:lvlJc w:val="left"/>
      <w:pPr>
        <w:tabs>
          <w:tab w:val="num" w:pos="2160"/>
        </w:tabs>
        <w:ind w:left="2160" w:hanging="360"/>
      </w:pPr>
      <w:rPr>
        <w:rFonts w:ascii="Arial" w:hAnsi="Arial" w:hint="default"/>
      </w:rPr>
    </w:lvl>
    <w:lvl w:ilvl="3" w:tplc="C9E6F518" w:tentative="1">
      <w:start w:val="1"/>
      <w:numFmt w:val="bullet"/>
      <w:lvlText w:val="•"/>
      <w:lvlJc w:val="left"/>
      <w:pPr>
        <w:tabs>
          <w:tab w:val="num" w:pos="2880"/>
        </w:tabs>
        <w:ind w:left="2880" w:hanging="360"/>
      </w:pPr>
      <w:rPr>
        <w:rFonts w:ascii="Arial" w:hAnsi="Arial" w:hint="default"/>
      </w:rPr>
    </w:lvl>
    <w:lvl w:ilvl="4" w:tplc="1B98EC78" w:tentative="1">
      <w:start w:val="1"/>
      <w:numFmt w:val="bullet"/>
      <w:lvlText w:val="•"/>
      <w:lvlJc w:val="left"/>
      <w:pPr>
        <w:tabs>
          <w:tab w:val="num" w:pos="3600"/>
        </w:tabs>
        <w:ind w:left="3600" w:hanging="360"/>
      </w:pPr>
      <w:rPr>
        <w:rFonts w:ascii="Arial" w:hAnsi="Arial" w:hint="default"/>
      </w:rPr>
    </w:lvl>
    <w:lvl w:ilvl="5" w:tplc="37726B92" w:tentative="1">
      <w:start w:val="1"/>
      <w:numFmt w:val="bullet"/>
      <w:lvlText w:val="•"/>
      <w:lvlJc w:val="left"/>
      <w:pPr>
        <w:tabs>
          <w:tab w:val="num" w:pos="4320"/>
        </w:tabs>
        <w:ind w:left="4320" w:hanging="360"/>
      </w:pPr>
      <w:rPr>
        <w:rFonts w:ascii="Arial" w:hAnsi="Arial" w:hint="default"/>
      </w:rPr>
    </w:lvl>
    <w:lvl w:ilvl="6" w:tplc="438CD2D0" w:tentative="1">
      <w:start w:val="1"/>
      <w:numFmt w:val="bullet"/>
      <w:lvlText w:val="•"/>
      <w:lvlJc w:val="left"/>
      <w:pPr>
        <w:tabs>
          <w:tab w:val="num" w:pos="5040"/>
        </w:tabs>
        <w:ind w:left="5040" w:hanging="360"/>
      </w:pPr>
      <w:rPr>
        <w:rFonts w:ascii="Arial" w:hAnsi="Arial" w:hint="default"/>
      </w:rPr>
    </w:lvl>
    <w:lvl w:ilvl="7" w:tplc="F01E5CD0" w:tentative="1">
      <w:start w:val="1"/>
      <w:numFmt w:val="bullet"/>
      <w:lvlText w:val="•"/>
      <w:lvlJc w:val="left"/>
      <w:pPr>
        <w:tabs>
          <w:tab w:val="num" w:pos="5760"/>
        </w:tabs>
        <w:ind w:left="5760" w:hanging="360"/>
      </w:pPr>
      <w:rPr>
        <w:rFonts w:ascii="Arial" w:hAnsi="Arial" w:hint="default"/>
      </w:rPr>
    </w:lvl>
    <w:lvl w:ilvl="8" w:tplc="FD58CF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3C4137"/>
    <w:multiLevelType w:val="hybridMultilevel"/>
    <w:tmpl w:val="5B0C30A6"/>
    <w:lvl w:ilvl="0" w:tplc="0BB6BAE4">
      <w:start w:val="1"/>
      <w:numFmt w:val="bullet"/>
      <w:lvlText w:val="•"/>
      <w:lvlJc w:val="left"/>
      <w:pPr>
        <w:tabs>
          <w:tab w:val="num" w:pos="540"/>
        </w:tabs>
        <w:ind w:left="540" w:hanging="360"/>
      </w:pPr>
      <w:rPr>
        <w:rFonts w:ascii="Arial" w:hAnsi="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3B4D44F6"/>
    <w:multiLevelType w:val="hybridMultilevel"/>
    <w:tmpl w:val="2B3E4D22"/>
    <w:lvl w:ilvl="0" w:tplc="824065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D44FB"/>
    <w:multiLevelType w:val="multilevel"/>
    <w:tmpl w:val="EC88B672"/>
    <w:lvl w:ilvl="0">
      <w:start w:val="1"/>
      <w:numFmt w:val="decimal"/>
      <w:pStyle w:val="Heading1Numbered"/>
      <w:lvlText w:val="%1."/>
      <w:lvlJc w:val="left"/>
      <w:pPr>
        <w:tabs>
          <w:tab w:val="num" w:pos="697"/>
        </w:tabs>
        <w:ind w:left="697" w:hanging="357"/>
      </w:pPr>
      <w:rPr>
        <w:rFonts w:hint="default"/>
      </w:rPr>
    </w:lvl>
    <w:lvl w:ilvl="1">
      <w:start w:val="1"/>
      <w:numFmt w:val="decimal"/>
      <w:pStyle w:val="Heading2Numbered"/>
      <w:lvlText w:val="%1.%2."/>
      <w:lvlJc w:val="left"/>
      <w:pPr>
        <w:tabs>
          <w:tab w:val="num" w:pos="1418"/>
        </w:tabs>
        <w:ind w:left="1418" w:hanging="721"/>
      </w:pPr>
      <w:rPr>
        <w:rFonts w:hint="default"/>
      </w:rPr>
    </w:lvl>
    <w:lvl w:ilvl="2">
      <w:start w:val="1"/>
      <w:numFmt w:val="decimal"/>
      <w:lvlText w:val="%1.%2.%3."/>
      <w:lvlJc w:val="left"/>
      <w:pPr>
        <w:tabs>
          <w:tab w:val="num" w:pos="680"/>
        </w:tabs>
        <w:ind w:left="1904" w:hanging="504"/>
      </w:pPr>
      <w:rPr>
        <w:rFonts w:hint="default"/>
      </w:rPr>
    </w:lvl>
    <w:lvl w:ilvl="3">
      <w:start w:val="1"/>
      <w:numFmt w:val="decimal"/>
      <w:lvlText w:val="%1.%2.%3.%4."/>
      <w:lvlJc w:val="left"/>
      <w:pPr>
        <w:tabs>
          <w:tab w:val="num" w:pos="680"/>
        </w:tabs>
        <w:ind w:left="2408" w:hanging="648"/>
      </w:pPr>
      <w:rPr>
        <w:rFonts w:hint="default"/>
      </w:rPr>
    </w:lvl>
    <w:lvl w:ilvl="4">
      <w:start w:val="1"/>
      <w:numFmt w:val="decimal"/>
      <w:lvlText w:val="%1.%2.%3.%4.%5."/>
      <w:lvlJc w:val="left"/>
      <w:pPr>
        <w:tabs>
          <w:tab w:val="num" w:pos="680"/>
        </w:tabs>
        <w:ind w:left="2912" w:hanging="792"/>
      </w:pPr>
      <w:rPr>
        <w:rFonts w:hint="default"/>
      </w:rPr>
    </w:lvl>
    <w:lvl w:ilvl="5">
      <w:start w:val="1"/>
      <w:numFmt w:val="decimal"/>
      <w:lvlText w:val="%1.%2.%3.%4.%5.%6."/>
      <w:lvlJc w:val="left"/>
      <w:pPr>
        <w:tabs>
          <w:tab w:val="num" w:pos="680"/>
        </w:tabs>
        <w:ind w:left="3416" w:hanging="936"/>
      </w:pPr>
      <w:rPr>
        <w:rFonts w:hint="default"/>
      </w:rPr>
    </w:lvl>
    <w:lvl w:ilvl="6">
      <w:start w:val="1"/>
      <w:numFmt w:val="decimal"/>
      <w:lvlText w:val="%1.%2.%3.%4.%5.%6.%7."/>
      <w:lvlJc w:val="left"/>
      <w:pPr>
        <w:tabs>
          <w:tab w:val="num" w:pos="680"/>
        </w:tabs>
        <w:ind w:left="3920" w:hanging="1080"/>
      </w:pPr>
      <w:rPr>
        <w:rFonts w:hint="default"/>
      </w:rPr>
    </w:lvl>
    <w:lvl w:ilvl="7">
      <w:start w:val="1"/>
      <w:numFmt w:val="decimal"/>
      <w:lvlText w:val="%1.%2.%3.%4.%5.%6.%7.%8."/>
      <w:lvlJc w:val="left"/>
      <w:pPr>
        <w:tabs>
          <w:tab w:val="num" w:pos="680"/>
        </w:tabs>
        <w:ind w:left="4424" w:hanging="1224"/>
      </w:pPr>
      <w:rPr>
        <w:rFonts w:hint="default"/>
      </w:rPr>
    </w:lvl>
    <w:lvl w:ilvl="8">
      <w:start w:val="1"/>
      <w:numFmt w:val="decimal"/>
      <w:lvlText w:val="%1.%2.%3.%4.%5.%6.%7.%8.%9."/>
      <w:lvlJc w:val="left"/>
      <w:pPr>
        <w:tabs>
          <w:tab w:val="num" w:pos="680"/>
        </w:tabs>
        <w:ind w:left="5000" w:hanging="1440"/>
      </w:pPr>
      <w:rPr>
        <w:rFonts w:hint="default"/>
      </w:rPr>
    </w:lvl>
  </w:abstractNum>
  <w:abstractNum w:abstractNumId="14" w15:restartNumberingAfterBreak="0">
    <w:nsid w:val="41925001"/>
    <w:multiLevelType w:val="hybridMultilevel"/>
    <w:tmpl w:val="FDD6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32310"/>
    <w:multiLevelType w:val="hybridMultilevel"/>
    <w:tmpl w:val="C79C56D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535219"/>
    <w:multiLevelType w:val="hybridMultilevel"/>
    <w:tmpl w:val="A4502806"/>
    <w:lvl w:ilvl="0" w:tplc="0BB6BAE4">
      <w:start w:val="1"/>
      <w:numFmt w:val="bullet"/>
      <w:lvlText w:val="•"/>
      <w:lvlJc w:val="left"/>
      <w:pPr>
        <w:tabs>
          <w:tab w:val="num" w:pos="-1800"/>
        </w:tabs>
        <w:ind w:left="-180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7" w15:restartNumberingAfterBreak="0">
    <w:nsid w:val="53761985"/>
    <w:multiLevelType w:val="multilevel"/>
    <w:tmpl w:val="02A84F88"/>
    <w:lvl w:ilvl="0">
      <w:start w:val="1"/>
      <w:numFmt w:val="bullet"/>
      <w:pStyle w:val="ListBullet"/>
      <w:lvlText w:val="–"/>
      <w:lvlJc w:val="left"/>
      <w:pPr>
        <w:tabs>
          <w:tab w:val="num" w:pos="1038"/>
        </w:tabs>
        <w:ind w:left="1038" w:hanging="341"/>
      </w:pPr>
      <w:rPr>
        <w:rFonts w:ascii="Grotesque MT" w:hAnsi="Grotesque MT" w:hint="default"/>
        <w:b w:val="0"/>
        <w:i w:val="0"/>
        <w:caps w:val="0"/>
        <w:color w:val="0096D7"/>
        <w:sz w:val="20"/>
        <w:u w:val="none"/>
      </w:rPr>
    </w:lvl>
    <w:lvl w:ilvl="1">
      <w:start w:val="1"/>
      <w:numFmt w:val="bullet"/>
      <w:lvlRestart w:val="0"/>
      <w:pStyle w:val="ListBullet2"/>
      <w:lvlText w:val="–"/>
      <w:lvlJc w:val="left"/>
      <w:pPr>
        <w:tabs>
          <w:tab w:val="num" w:pos="1378"/>
        </w:tabs>
        <w:ind w:left="1378" w:hanging="340"/>
      </w:pPr>
      <w:rPr>
        <w:rFonts w:ascii="Grotesque MT" w:hAnsi="Grotesque MT" w:hint="default"/>
        <w:b w:val="0"/>
        <w:i w:val="0"/>
        <w:color w:val="3C3C3C"/>
        <w:sz w:val="20"/>
        <w:u w:val="none"/>
      </w:rPr>
    </w:lvl>
    <w:lvl w:ilvl="2">
      <w:start w:val="1"/>
      <w:numFmt w:val="bullet"/>
      <w:lvlRestart w:val="0"/>
      <w:pStyle w:val="ListBullet3"/>
      <w:lvlText w:val="–"/>
      <w:lvlJc w:val="left"/>
      <w:pPr>
        <w:tabs>
          <w:tab w:val="num" w:pos="1718"/>
        </w:tabs>
        <w:ind w:left="1718" w:hanging="340"/>
      </w:pPr>
      <w:rPr>
        <w:rFonts w:ascii="Grotesque MT" w:hAnsi="Grotesque MT" w:hint="default"/>
        <w:b w:val="0"/>
        <w:i w:val="0"/>
        <w:color w:val="3C3C3C"/>
        <w:sz w:val="20"/>
        <w:u w:val="none"/>
      </w:rPr>
    </w:lvl>
    <w:lvl w:ilvl="3">
      <w:start w:val="1"/>
      <w:numFmt w:val="bullet"/>
      <w:lvlRestart w:val="0"/>
      <w:pStyle w:val="ListBullet4"/>
      <w:lvlText w:val="–"/>
      <w:lvlJc w:val="left"/>
      <w:pPr>
        <w:tabs>
          <w:tab w:val="num" w:pos="2308"/>
        </w:tabs>
        <w:ind w:left="2308" w:hanging="397"/>
      </w:pPr>
      <w:rPr>
        <w:rFonts w:ascii="Grotesque MT" w:hAnsi="Grotesque MT" w:cs="Grotesque MT" w:hint="default"/>
        <w:b w:val="0"/>
        <w:i w:val="0"/>
        <w:color w:val="auto"/>
        <w:sz w:val="20"/>
        <w:u w:val="none"/>
      </w:rPr>
    </w:lvl>
    <w:lvl w:ilvl="4">
      <w:start w:val="1"/>
      <w:numFmt w:val="bullet"/>
      <w:lvlRestart w:val="0"/>
      <w:lvlText w:val="-"/>
      <w:lvlJc w:val="left"/>
      <w:pPr>
        <w:tabs>
          <w:tab w:val="num" w:pos="2194"/>
        </w:tabs>
        <w:ind w:left="2194" w:hanging="283"/>
      </w:pPr>
      <w:rPr>
        <w:rFonts w:ascii="Arial" w:hAnsi="Arial" w:hint="default"/>
        <w:b w:val="0"/>
        <w:i w:val="0"/>
        <w:color w:val="auto"/>
        <w:sz w:val="24"/>
        <w:szCs w:val="24"/>
        <w:u w:val="none"/>
      </w:rPr>
    </w:lvl>
    <w:lvl w:ilvl="5">
      <w:start w:val="1"/>
      <w:numFmt w:val="bullet"/>
      <w:lvlRestart w:val="0"/>
      <w:lvlText w:val="-"/>
      <w:lvlJc w:val="left"/>
      <w:pPr>
        <w:tabs>
          <w:tab w:val="num" w:pos="2478"/>
        </w:tabs>
        <w:ind w:left="2478" w:hanging="284"/>
      </w:pPr>
      <w:rPr>
        <w:rFonts w:ascii="Arial" w:hAnsi="Arial" w:hint="default"/>
        <w:b w:val="0"/>
        <w:i w:val="0"/>
        <w:color w:val="auto"/>
        <w:sz w:val="24"/>
        <w:szCs w:val="24"/>
        <w:u w:val="none"/>
      </w:rPr>
    </w:lvl>
    <w:lvl w:ilvl="6">
      <w:start w:val="1"/>
      <w:numFmt w:val="bullet"/>
      <w:lvlRestart w:val="0"/>
      <w:lvlText w:val="-"/>
      <w:lvlJc w:val="left"/>
      <w:pPr>
        <w:tabs>
          <w:tab w:val="num" w:pos="2761"/>
        </w:tabs>
        <w:ind w:left="2761" w:hanging="283"/>
      </w:pPr>
      <w:rPr>
        <w:rFonts w:ascii="Arial" w:hAnsi="Arial" w:hint="default"/>
        <w:b w:val="0"/>
        <w:i w:val="0"/>
        <w:color w:val="auto"/>
        <w:sz w:val="24"/>
        <w:szCs w:val="24"/>
        <w:u w:val="none"/>
      </w:rPr>
    </w:lvl>
    <w:lvl w:ilvl="7">
      <w:start w:val="1"/>
      <w:numFmt w:val="bullet"/>
      <w:lvlRestart w:val="0"/>
      <w:lvlText w:val="-"/>
      <w:lvlJc w:val="left"/>
      <w:pPr>
        <w:tabs>
          <w:tab w:val="num" w:pos="3045"/>
        </w:tabs>
        <w:ind w:left="3045" w:hanging="284"/>
      </w:pPr>
      <w:rPr>
        <w:rFonts w:ascii="Arial" w:hAnsi="Arial" w:hint="default"/>
        <w:b w:val="0"/>
        <w:i w:val="0"/>
        <w:color w:val="auto"/>
        <w:sz w:val="24"/>
        <w:szCs w:val="24"/>
        <w:u w:val="none"/>
      </w:rPr>
    </w:lvl>
    <w:lvl w:ilvl="8">
      <w:start w:val="1"/>
      <w:numFmt w:val="bullet"/>
      <w:lvlRestart w:val="0"/>
      <w:lvlText w:val="-"/>
      <w:lvlJc w:val="left"/>
      <w:pPr>
        <w:tabs>
          <w:tab w:val="num" w:pos="3328"/>
        </w:tabs>
        <w:ind w:left="3328" w:hanging="283"/>
      </w:pPr>
      <w:rPr>
        <w:rFonts w:ascii="Arial" w:hAnsi="Arial" w:hint="default"/>
        <w:b w:val="0"/>
        <w:i w:val="0"/>
        <w:color w:val="auto"/>
        <w:sz w:val="24"/>
        <w:szCs w:val="24"/>
      </w:rPr>
    </w:lvl>
  </w:abstractNum>
  <w:abstractNum w:abstractNumId="18" w15:restartNumberingAfterBreak="0">
    <w:nsid w:val="551D0009"/>
    <w:multiLevelType w:val="hybridMultilevel"/>
    <w:tmpl w:val="01DC8ED4"/>
    <w:lvl w:ilvl="0" w:tplc="0409000F">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885096"/>
    <w:multiLevelType w:val="hybridMultilevel"/>
    <w:tmpl w:val="94AC1B0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07948F3"/>
    <w:multiLevelType w:val="hybridMultilevel"/>
    <w:tmpl w:val="C57CA7F8"/>
    <w:lvl w:ilvl="0" w:tplc="19A0918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725F25"/>
    <w:multiLevelType w:val="multilevel"/>
    <w:tmpl w:val="04928FD8"/>
    <w:lvl w:ilvl="0">
      <w:start w:val="1"/>
      <w:numFmt w:val="decimal"/>
      <w:pStyle w:val="ListNumber"/>
      <w:lvlText w:val="%1."/>
      <w:lvlJc w:val="left"/>
      <w:pPr>
        <w:tabs>
          <w:tab w:val="num" w:pos="1038"/>
        </w:tabs>
        <w:ind w:left="1038" w:hanging="341"/>
      </w:pPr>
      <w:rPr>
        <w:rFonts w:hint="default"/>
      </w:rPr>
    </w:lvl>
    <w:lvl w:ilvl="1">
      <w:start w:val="1"/>
      <w:numFmt w:val="lowerLetter"/>
      <w:pStyle w:val="ListNumber2"/>
      <w:lvlText w:val="%2)"/>
      <w:lvlJc w:val="left"/>
      <w:pPr>
        <w:tabs>
          <w:tab w:val="num" w:pos="1378"/>
        </w:tabs>
        <w:ind w:left="1378" w:hanging="340"/>
      </w:pPr>
      <w:rPr>
        <w:rFonts w:hint="default"/>
      </w:rPr>
    </w:lvl>
    <w:lvl w:ilvl="2">
      <w:start w:val="1"/>
      <w:numFmt w:val="lowerRoman"/>
      <w:pStyle w:val="ListNumber3"/>
      <w:lvlText w:val="%3)"/>
      <w:lvlJc w:val="left"/>
      <w:pPr>
        <w:tabs>
          <w:tab w:val="num" w:pos="1718"/>
        </w:tabs>
        <w:ind w:left="1718" w:hanging="340"/>
      </w:pPr>
      <w:rPr>
        <w:rFont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15:restartNumberingAfterBreak="0">
    <w:nsid w:val="64210749"/>
    <w:multiLevelType w:val="hybridMultilevel"/>
    <w:tmpl w:val="EFC4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2140E"/>
    <w:multiLevelType w:val="hybridMultilevel"/>
    <w:tmpl w:val="3C38C0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793014"/>
    <w:multiLevelType w:val="hybridMultilevel"/>
    <w:tmpl w:val="07A23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BE1DE3"/>
    <w:multiLevelType w:val="hybridMultilevel"/>
    <w:tmpl w:val="9E325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BC1D10"/>
    <w:multiLevelType w:val="multilevel"/>
    <w:tmpl w:val="C1520DAC"/>
    <w:lvl w:ilvl="0">
      <w:start w:val="1"/>
      <w:numFmt w:val="decimal"/>
      <w:pStyle w:val="Numbered1"/>
      <w:lvlText w:val="%1."/>
      <w:lvlJc w:val="left"/>
      <w:pPr>
        <w:tabs>
          <w:tab w:val="num" w:pos="360"/>
        </w:tabs>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3"/>
  </w:num>
  <w:num w:numId="4">
    <w:abstractNumId w:val="26"/>
  </w:num>
  <w:num w:numId="5">
    <w:abstractNumId w:val="6"/>
  </w:num>
  <w:num w:numId="6">
    <w:abstractNumId w:val="19"/>
  </w:num>
  <w:num w:numId="7">
    <w:abstractNumId w:val="2"/>
  </w:num>
  <w:num w:numId="8">
    <w:abstractNumId w:val="24"/>
  </w:num>
  <w:num w:numId="9">
    <w:abstractNumId w:val="14"/>
  </w:num>
  <w:num w:numId="10">
    <w:abstractNumId w:val="8"/>
  </w:num>
  <w:num w:numId="11">
    <w:abstractNumId w:val="22"/>
  </w:num>
  <w:num w:numId="12">
    <w:abstractNumId w:val="1"/>
  </w:num>
  <w:num w:numId="13">
    <w:abstractNumId w:val="10"/>
  </w:num>
  <w:num w:numId="14">
    <w:abstractNumId w:val="5"/>
  </w:num>
  <w:num w:numId="15">
    <w:abstractNumId w:val="11"/>
  </w:num>
  <w:num w:numId="16">
    <w:abstractNumId w:val="16"/>
  </w:num>
  <w:num w:numId="17">
    <w:abstractNumId w:val="3"/>
  </w:num>
  <w:num w:numId="18">
    <w:abstractNumId w:val="9"/>
  </w:num>
  <w:num w:numId="19">
    <w:abstractNumId w:val="12"/>
  </w:num>
  <w:num w:numId="20">
    <w:abstractNumId w:val="0"/>
  </w:num>
  <w:num w:numId="21">
    <w:abstractNumId w:val="7"/>
  </w:num>
  <w:num w:numId="22">
    <w:abstractNumId w:val="15"/>
  </w:num>
  <w:num w:numId="23">
    <w:abstractNumId w:val="23"/>
  </w:num>
  <w:num w:numId="24">
    <w:abstractNumId w:val="25"/>
  </w:num>
  <w:num w:numId="25">
    <w:abstractNumId w:val="20"/>
  </w:num>
  <w:num w:numId="26">
    <w:abstractNumId w:val="18"/>
  </w:num>
  <w:num w:numId="2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70"/>
    <w:rsid w:val="0000000A"/>
    <w:rsid w:val="00001870"/>
    <w:rsid w:val="000025A4"/>
    <w:rsid w:val="00002D9A"/>
    <w:rsid w:val="000077F7"/>
    <w:rsid w:val="00011035"/>
    <w:rsid w:val="00014E29"/>
    <w:rsid w:val="00017274"/>
    <w:rsid w:val="00022105"/>
    <w:rsid w:val="00022F4F"/>
    <w:rsid w:val="0002622C"/>
    <w:rsid w:val="000315C0"/>
    <w:rsid w:val="00031A8C"/>
    <w:rsid w:val="00036A7B"/>
    <w:rsid w:val="0004235C"/>
    <w:rsid w:val="00043401"/>
    <w:rsid w:val="00044300"/>
    <w:rsid w:val="0004636E"/>
    <w:rsid w:val="00051366"/>
    <w:rsid w:val="00052DE0"/>
    <w:rsid w:val="00053868"/>
    <w:rsid w:val="0005463D"/>
    <w:rsid w:val="00055F8C"/>
    <w:rsid w:val="000574BE"/>
    <w:rsid w:val="000578E5"/>
    <w:rsid w:val="00062854"/>
    <w:rsid w:val="0006444C"/>
    <w:rsid w:val="00064517"/>
    <w:rsid w:val="00064541"/>
    <w:rsid w:val="00070682"/>
    <w:rsid w:val="000713B6"/>
    <w:rsid w:val="00071958"/>
    <w:rsid w:val="000730A1"/>
    <w:rsid w:val="00073D87"/>
    <w:rsid w:val="000757C9"/>
    <w:rsid w:val="00080299"/>
    <w:rsid w:val="00080530"/>
    <w:rsid w:val="0008062C"/>
    <w:rsid w:val="00081629"/>
    <w:rsid w:val="00084074"/>
    <w:rsid w:val="0008437D"/>
    <w:rsid w:val="000879C7"/>
    <w:rsid w:val="00090E69"/>
    <w:rsid w:val="00091F45"/>
    <w:rsid w:val="0009502D"/>
    <w:rsid w:val="00096A3B"/>
    <w:rsid w:val="00097194"/>
    <w:rsid w:val="00097197"/>
    <w:rsid w:val="00097742"/>
    <w:rsid w:val="000A3366"/>
    <w:rsid w:val="000A39D3"/>
    <w:rsid w:val="000A43C6"/>
    <w:rsid w:val="000A6536"/>
    <w:rsid w:val="000A7417"/>
    <w:rsid w:val="000A7BC3"/>
    <w:rsid w:val="000B0D19"/>
    <w:rsid w:val="000B29E9"/>
    <w:rsid w:val="000B47C3"/>
    <w:rsid w:val="000B579E"/>
    <w:rsid w:val="000B5D33"/>
    <w:rsid w:val="000B6D0D"/>
    <w:rsid w:val="000B79F1"/>
    <w:rsid w:val="000C0238"/>
    <w:rsid w:val="000C1497"/>
    <w:rsid w:val="000C19AD"/>
    <w:rsid w:val="000C2667"/>
    <w:rsid w:val="000C37DC"/>
    <w:rsid w:val="000C5EE5"/>
    <w:rsid w:val="000C753F"/>
    <w:rsid w:val="000D3CEC"/>
    <w:rsid w:val="000D5B73"/>
    <w:rsid w:val="000E020F"/>
    <w:rsid w:val="000E19E2"/>
    <w:rsid w:val="000E30E2"/>
    <w:rsid w:val="000E3163"/>
    <w:rsid w:val="000E7CFE"/>
    <w:rsid w:val="000F03B6"/>
    <w:rsid w:val="000F4830"/>
    <w:rsid w:val="000F7708"/>
    <w:rsid w:val="0010275B"/>
    <w:rsid w:val="00103994"/>
    <w:rsid w:val="00103BF9"/>
    <w:rsid w:val="00107F7B"/>
    <w:rsid w:val="00110009"/>
    <w:rsid w:val="001133E8"/>
    <w:rsid w:val="001144F5"/>
    <w:rsid w:val="0011651E"/>
    <w:rsid w:val="0011780C"/>
    <w:rsid w:val="00120C45"/>
    <w:rsid w:val="00125872"/>
    <w:rsid w:val="00125EF0"/>
    <w:rsid w:val="00125F6B"/>
    <w:rsid w:val="0012650A"/>
    <w:rsid w:val="0013046C"/>
    <w:rsid w:val="0013287C"/>
    <w:rsid w:val="00135FFD"/>
    <w:rsid w:val="001405F8"/>
    <w:rsid w:val="001433D2"/>
    <w:rsid w:val="00143590"/>
    <w:rsid w:val="0014455A"/>
    <w:rsid w:val="00146126"/>
    <w:rsid w:val="001500EF"/>
    <w:rsid w:val="00161C0C"/>
    <w:rsid w:val="00161D4E"/>
    <w:rsid w:val="00162BE7"/>
    <w:rsid w:val="001631EC"/>
    <w:rsid w:val="00165C62"/>
    <w:rsid w:val="00167CDC"/>
    <w:rsid w:val="00172330"/>
    <w:rsid w:val="001728A1"/>
    <w:rsid w:val="00174983"/>
    <w:rsid w:val="00176AEE"/>
    <w:rsid w:val="001819D9"/>
    <w:rsid w:val="0018385B"/>
    <w:rsid w:val="00185B6D"/>
    <w:rsid w:val="00186083"/>
    <w:rsid w:val="001869D0"/>
    <w:rsid w:val="00187853"/>
    <w:rsid w:val="00191518"/>
    <w:rsid w:val="00191807"/>
    <w:rsid w:val="00193506"/>
    <w:rsid w:val="00195725"/>
    <w:rsid w:val="001A4347"/>
    <w:rsid w:val="001A7DB0"/>
    <w:rsid w:val="001B397C"/>
    <w:rsid w:val="001B553E"/>
    <w:rsid w:val="001B6C66"/>
    <w:rsid w:val="001B77EC"/>
    <w:rsid w:val="001B7BFB"/>
    <w:rsid w:val="001C2562"/>
    <w:rsid w:val="001C3EA6"/>
    <w:rsid w:val="001C3EAD"/>
    <w:rsid w:val="001C5EC8"/>
    <w:rsid w:val="001C7F63"/>
    <w:rsid w:val="001D03C4"/>
    <w:rsid w:val="001D2EBF"/>
    <w:rsid w:val="001D31D6"/>
    <w:rsid w:val="001D425E"/>
    <w:rsid w:val="001E0ADA"/>
    <w:rsid w:val="001E1965"/>
    <w:rsid w:val="001E2729"/>
    <w:rsid w:val="001E37F2"/>
    <w:rsid w:val="001F052A"/>
    <w:rsid w:val="001F2522"/>
    <w:rsid w:val="001F2E6E"/>
    <w:rsid w:val="001F42C9"/>
    <w:rsid w:val="001F4992"/>
    <w:rsid w:val="001F4CE7"/>
    <w:rsid w:val="001F5DDE"/>
    <w:rsid w:val="0020212B"/>
    <w:rsid w:val="00206FD7"/>
    <w:rsid w:val="0020739D"/>
    <w:rsid w:val="00211352"/>
    <w:rsid w:val="00217913"/>
    <w:rsid w:val="00224EA1"/>
    <w:rsid w:val="002306F7"/>
    <w:rsid w:val="00234600"/>
    <w:rsid w:val="00234939"/>
    <w:rsid w:val="002357E2"/>
    <w:rsid w:val="002372D4"/>
    <w:rsid w:val="00240551"/>
    <w:rsid w:val="00241242"/>
    <w:rsid w:val="00242194"/>
    <w:rsid w:val="0024252C"/>
    <w:rsid w:val="00243553"/>
    <w:rsid w:val="00243735"/>
    <w:rsid w:val="00247BB0"/>
    <w:rsid w:val="00247E21"/>
    <w:rsid w:val="00250785"/>
    <w:rsid w:val="00251A36"/>
    <w:rsid w:val="002576A9"/>
    <w:rsid w:val="00257EF9"/>
    <w:rsid w:val="0026011B"/>
    <w:rsid w:val="00262B80"/>
    <w:rsid w:val="00265385"/>
    <w:rsid w:val="00265C49"/>
    <w:rsid w:val="00265D30"/>
    <w:rsid w:val="00270296"/>
    <w:rsid w:val="0027138F"/>
    <w:rsid w:val="00273185"/>
    <w:rsid w:val="002732EF"/>
    <w:rsid w:val="002738B6"/>
    <w:rsid w:val="00273D3F"/>
    <w:rsid w:val="00273E50"/>
    <w:rsid w:val="002740A1"/>
    <w:rsid w:val="00275280"/>
    <w:rsid w:val="00275459"/>
    <w:rsid w:val="002778B7"/>
    <w:rsid w:val="00280754"/>
    <w:rsid w:val="00281502"/>
    <w:rsid w:val="002829E0"/>
    <w:rsid w:val="00284B91"/>
    <w:rsid w:val="00287210"/>
    <w:rsid w:val="00291571"/>
    <w:rsid w:val="00292A05"/>
    <w:rsid w:val="00293150"/>
    <w:rsid w:val="002950DE"/>
    <w:rsid w:val="00296374"/>
    <w:rsid w:val="00296429"/>
    <w:rsid w:val="00297E4B"/>
    <w:rsid w:val="002A0C4C"/>
    <w:rsid w:val="002A3562"/>
    <w:rsid w:val="002A5482"/>
    <w:rsid w:val="002A62D9"/>
    <w:rsid w:val="002A63B7"/>
    <w:rsid w:val="002A7880"/>
    <w:rsid w:val="002B0871"/>
    <w:rsid w:val="002B0B7E"/>
    <w:rsid w:val="002B3B80"/>
    <w:rsid w:val="002B501F"/>
    <w:rsid w:val="002B68B4"/>
    <w:rsid w:val="002B6C21"/>
    <w:rsid w:val="002C1DCD"/>
    <w:rsid w:val="002C2EB9"/>
    <w:rsid w:val="002C4C5D"/>
    <w:rsid w:val="002C631F"/>
    <w:rsid w:val="002D136E"/>
    <w:rsid w:val="002D152C"/>
    <w:rsid w:val="002D2F8A"/>
    <w:rsid w:val="002D4F75"/>
    <w:rsid w:val="002D54E2"/>
    <w:rsid w:val="002E14BE"/>
    <w:rsid w:val="002E1F34"/>
    <w:rsid w:val="002E69F3"/>
    <w:rsid w:val="002F1442"/>
    <w:rsid w:val="002F2E9D"/>
    <w:rsid w:val="002F46A3"/>
    <w:rsid w:val="002F5419"/>
    <w:rsid w:val="002F5FAC"/>
    <w:rsid w:val="002F6B53"/>
    <w:rsid w:val="003006AB"/>
    <w:rsid w:val="0030145D"/>
    <w:rsid w:val="00301485"/>
    <w:rsid w:val="003044D5"/>
    <w:rsid w:val="00306FD9"/>
    <w:rsid w:val="00310A63"/>
    <w:rsid w:val="00312CE0"/>
    <w:rsid w:val="00312DC4"/>
    <w:rsid w:val="00313438"/>
    <w:rsid w:val="0031437B"/>
    <w:rsid w:val="003152D3"/>
    <w:rsid w:val="0031604E"/>
    <w:rsid w:val="0031675E"/>
    <w:rsid w:val="00316820"/>
    <w:rsid w:val="00316EFF"/>
    <w:rsid w:val="00322414"/>
    <w:rsid w:val="003227B7"/>
    <w:rsid w:val="00323239"/>
    <w:rsid w:val="00324271"/>
    <w:rsid w:val="003259A5"/>
    <w:rsid w:val="00327AE2"/>
    <w:rsid w:val="00327C43"/>
    <w:rsid w:val="003303BA"/>
    <w:rsid w:val="003303E5"/>
    <w:rsid w:val="003305A5"/>
    <w:rsid w:val="00334FCA"/>
    <w:rsid w:val="00337906"/>
    <w:rsid w:val="00341D2A"/>
    <w:rsid w:val="00343B46"/>
    <w:rsid w:val="003466EC"/>
    <w:rsid w:val="003470F4"/>
    <w:rsid w:val="00347B14"/>
    <w:rsid w:val="00351DD2"/>
    <w:rsid w:val="00351F42"/>
    <w:rsid w:val="00352850"/>
    <w:rsid w:val="00353273"/>
    <w:rsid w:val="003561EB"/>
    <w:rsid w:val="003604D3"/>
    <w:rsid w:val="0036065D"/>
    <w:rsid w:val="003606C1"/>
    <w:rsid w:val="00360F27"/>
    <w:rsid w:val="003647C6"/>
    <w:rsid w:val="00364967"/>
    <w:rsid w:val="00364C04"/>
    <w:rsid w:val="00367C9E"/>
    <w:rsid w:val="00373FE4"/>
    <w:rsid w:val="00374393"/>
    <w:rsid w:val="00376DB4"/>
    <w:rsid w:val="00377A26"/>
    <w:rsid w:val="003809B9"/>
    <w:rsid w:val="00380A37"/>
    <w:rsid w:val="003815EF"/>
    <w:rsid w:val="00383767"/>
    <w:rsid w:val="003838F4"/>
    <w:rsid w:val="003845B9"/>
    <w:rsid w:val="0038780F"/>
    <w:rsid w:val="00390869"/>
    <w:rsid w:val="003937A2"/>
    <w:rsid w:val="00395935"/>
    <w:rsid w:val="00396203"/>
    <w:rsid w:val="00397807"/>
    <w:rsid w:val="003A211C"/>
    <w:rsid w:val="003A4D26"/>
    <w:rsid w:val="003A6E2D"/>
    <w:rsid w:val="003A7E05"/>
    <w:rsid w:val="003B0197"/>
    <w:rsid w:val="003B069B"/>
    <w:rsid w:val="003B4F54"/>
    <w:rsid w:val="003B51D4"/>
    <w:rsid w:val="003B55AE"/>
    <w:rsid w:val="003B59A5"/>
    <w:rsid w:val="003C0499"/>
    <w:rsid w:val="003C05A1"/>
    <w:rsid w:val="003C14AA"/>
    <w:rsid w:val="003C1DE3"/>
    <w:rsid w:val="003C2DFA"/>
    <w:rsid w:val="003C37C5"/>
    <w:rsid w:val="003C5928"/>
    <w:rsid w:val="003C6FDB"/>
    <w:rsid w:val="003C700C"/>
    <w:rsid w:val="003D0A3C"/>
    <w:rsid w:val="003D49C8"/>
    <w:rsid w:val="003D578B"/>
    <w:rsid w:val="003E0535"/>
    <w:rsid w:val="003E0DED"/>
    <w:rsid w:val="003E1A34"/>
    <w:rsid w:val="003E473F"/>
    <w:rsid w:val="003E5BD3"/>
    <w:rsid w:val="003E6E42"/>
    <w:rsid w:val="003E6E43"/>
    <w:rsid w:val="003F4D87"/>
    <w:rsid w:val="003F5245"/>
    <w:rsid w:val="003F602B"/>
    <w:rsid w:val="003F6448"/>
    <w:rsid w:val="003F6518"/>
    <w:rsid w:val="00400782"/>
    <w:rsid w:val="004012D1"/>
    <w:rsid w:val="004016E8"/>
    <w:rsid w:val="00402BEB"/>
    <w:rsid w:val="00403296"/>
    <w:rsid w:val="0040358D"/>
    <w:rsid w:val="004049D8"/>
    <w:rsid w:val="004050FE"/>
    <w:rsid w:val="00405266"/>
    <w:rsid w:val="004053C6"/>
    <w:rsid w:val="00406BE5"/>
    <w:rsid w:val="004073BD"/>
    <w:rsid w:val="00413FFD"/>
    <w:rsid w:val="0041616B"/>
    <w:rsid w:val="004214EA"/>
    <w:rsid w:val="004220AA"/>
    <w:rsid w:val="00425043"/>
    <w:rsid w:val="00425AAE"/>
    <w:rsid w:val="00427FED"/>
    <w:rsid w:val="00430B83"/>
    <w:rsid w:val="00437B7A"/>
    <w:rsid w:val="00443C28"/>
    <w:rsid w:val="00444896"/>
    <w:rsid w:val="0045306C"/>
    <w:rsid w:val="004543FB"/>
    <w:rsid w:val="0045514F"/>
    <w:rsid w:val="00455B4B"/>
    <w:rsid w:val="004576B7"/>
    <w:rsid w:val="00462879"/>
    <w:rsid w:val="00462B68"/>
    <w:rsid w:val="0046432A"/>
    <w:rsid w:val="00467C13"/>
    <w:rsid w:val="00467CD9"/>
    <w:rsid w:val="00470AEC"/>
    <w:rsid w:val="004715C1"/>
    <w:rsid w:val="00475061"/>
    <w:rsid w:val="004770EB"/>
    <w:rsid w:val="004777F7"/>
    <w:rsid w:val="004843E1"/>
    <w:rsid w:val="00490DE0"/>
    <w:rsid w:val="00494F00"/>
    <w:rsid w:val="004953FF"/>
    <w:rsid w:val="00496460"/>
    <w:rsid w:val="004A06A8"/>
    <w:rsid w:val="004A0718"/>
    <w:rsid w:val="004A1554"/>
    <w:rsid w:val="004A179B"/>
    <w:rsid w:val="004A5568"/>
    <w:rsid w:val="004A5AFB"/>
    <w:rsid w:val="004A5CE0"/>
    <w:rsid w:val="004A641E"/>
    <w:rsid w:val="004B4EB0"/>
    <w:rsid w:val="004C0AC7"/>
    <w:rsid w:val="004C13B3"/>
    <w:rsid w:val="004C4573"/>
    <w:rsid w:val="004C7B18"/>
    <w:rsid w:val="004D355C"/>
    <w:rsid w:val="004D4D5E"/>
    <w:rsid w:val="004D5398"/>
    <w:rsid w:val="004D55EE"/>
    <w:rsid w:val="004D5F95"/>
    <w:rsid w:val="004D670C"/>
    <w:rsid w:val="004E018C"/>
    <w:rsid w:val="004E13A9"/>
    <w:rsid w:val="004E40B1"/>
    <w:rsid w:val="004E5AA1"/>
    <w:rsid w:val="004E746E"/>
    <w:rsid w:val="004F0F15"/>
    <w:rsid w:val="004F1C84"/>
    <w:rsid w:val="004F5F7F"/>
    <w:rsid w:val="004F7354"/>
    <w:rsid w:val="00500802"/>
    <w:rsid w:val="00500B7D"/>
    <w:rsid w:val="00501B13"/>
    <w:rsid w:val="00501EF5"/>
    <w:rsid w:val="00505BAF"/>
    <w:rsid w:val="00507606"/>
    <w:rsid w:val="00511604"/>
    <w:rsid w:val="00511963"/>
    <w:rsid w:val="00511BE6"/>
    <w:rsid w:val="00513985"/>
    <w:rsid w:val="00515284"/>
    <w:rsid w:val="0051605A"/>
    <w:rsid w:val="00520627"/>
    <w:rsid w:val="00520765"/>
    <w:rsid w:val="0052138E"/>
    <w:rsid w:val="0052215B"/>
    <w:rsid w:val="0052268C"/>
    <w:rsid w:val="00524E08"/>
    <w:rsid w:val="00525D78"/>
    <w:rsid w:val="00526972"/>
    <w:rsid w:val="00526F63"/>
    <w:rsid w:val="005270D0"/>
    <w:rsid w:val="00527F93"/>
    <w:rsid w:val="005327C9"/>
    <w:rsid w:val="00543541"/>
    <w:rsid w:val="00546259"/>
    <w:rsid w:val="00547C55"/>
    <w:rsid w:val="00553EFB"/>
    <w:rsid w:val="00554826"/>
    <w:rsid w:val="00556344"/>
    <w:rsid w:val="005563D9"/>
    <w:rsid w:val="00557807"/>
    <w:rsid w:val="00563279"/>
    <w:rsid w:val="005647D5"/>
    <w:rsid w:val="00566CE1"/>
    <w:rsid w:val="00567BA8"/>
    <w:rsid w:val="00567ED8"/>
    <w:rsid w:val="005751BC"/>
    <w:rsid w:val="00577306"/>
    <w:rsid w:val="0057772C"/>
    <w:rsid w:val="0058247A"/>
    <w:rsid w:val="0059107C"/>
    <w:rsid w:val="00593029"/>
    <w:rsid w:val="005966A0"/>
    <w:rsid w:val="005A124F"/>
    <w:rsid w:val="005A3679"/>
    <w:rsid w:val="005A3CF6"/>
    <w:rsid w:val="005A4A9B"/>
    <w:rsid w:val="005C0066"/>
    <w:rsid w:val="005C369E"/>
    <w:rsid w:val="005C392F"/>
    <w:rsid w:val="005C48A5"/>
    <w:rsid w:val="005C6693"/>
    <w:rsid w:val="005C6E5A"/>
    <w:rsid w:val="005D18E1"/>
    <w:rsid w:val="005D1F1D"/>
    <w:rsid w:val="005D3113"/>
    <w:rsid w:val="005D322A"/>
    <w:rsid w:val="005D3470"/>
    <w:rsid w:val="005D74D7"/>
    <w:rsid w:val="005D79DB"/>
    <w:rsid w:val="005E08D3"/>
    <w:rsid w:val="005E0DEA"/>
    <w:rsid w:val="005E1AD4"/>
    <w:rsid w:val="005E2D7B"/>
    <w:rsid w:val="005E31A7"/>
    <w:rsid w:val="005E5007"/>
    <w:rsid w:val="005E6769"/>
    <w:rsid w:val="005E7247"/>
    <w:rsid w:val="005E779C"/>
    <w:rsid w:val="005F110D"/>
    <w:rsid w:val="005F37AC"/>
    <w:rsid w:val="005F7A51"/>
    <w:rsid w:val="005F7AF1"/>
    <w:rsid w:val="006043A5"/>
    <w:rsid w:val="006052B9"/>
    <w:rsid w:val="00605302"/>
    <w:rsid w:val="00605EAC"/>
    <w:rsid w:val="006064F6"/>
    <w:rsid w:val="00606A47"/>
    <w:rsid w:val="0061409A"/>
    <w:rsid w:val="00614121"/>
    <w:rsid w:val="00615B7D"/>
    <w:rsid w:val="00615FBD"/>
    <w:rsid w:val="006230C6"/>
    <w:rsid w:val="00625012"/>
    <w:rsid w:val="00626B67"/>
    <w:rsid w:val="00631009"/>
    <w:rsid w:val="00634708"/>
    <w:rsid w:val="00641432"/>
    <w:rsid w:val="006414B0"/>
    <w:rsid w:val="0064244C"/>
    <w:rsid w:val="00642AF5"/>
    <w:rsid w:val="006430AE"/>
    <w:rsid w:val="006433DB"/>
    <w:rsid w:val="00643AB4"/>
    <w:rsid w:val="006479DB"/>
    <w:rsid w:val="00647EAF"/>
    <w:rsid w:val="006507DE"/>
    <w:rsid w:val="0065195E"/>
    <w:rsid w:val="00651BE8"/>
    <w:rsid w:val="00652FEA"/>
    <w:rsid w:val="006559AE"/>
    <w:rsid w:val="00655E42"/>
    <w:rsid w:val="00655F5B"/>
    <w:rsid w:val="00661A8F"/>
    <w:rsid w:val="006646CF"/>
    <w:rsid w:val="00665DE8"/>
    <w:rsid w:val="0067008D"/>
    <w:rsid w:val="00670541"/>
    <w:rsid w:val="00673F01"/>
    <w:rsid w:val="00677C20"/>
    <w:rsid w:val="00681090"/>
    <w:rsid w:val="006826E5"/>
    <w:rsid w:val="006827A9"/>
    <w:rsid w:val="006831D3"/>
    <w:rsid w:val="00686E43"/>
    <w:rsid w:val="00691C2A"/>
    <w:rsid w:val="00692B15"/>
    <w:rsid w:val="00692D41"/>
    <w:rsid w:val="006931A5"/>
    <w:rsid w:val="00694E75"/>
    <w:rsid w:val="006959C9"/>
    <w:rsid w:val="00696247"/>
    <w:rsid w:val="00696C55"/>
    <w:rsid w:val="00697593"/>
    <w:rsid w:val="00697ABC"/>
    <w:rsid w:val="006A0AF0"/>
    <w:rsid w:val="006A0C9D"/>
    <w:rsid w:val="006A13AA"/>
    <w:rsid w:val="006A1F93"/>
    <w:rsid w:val="006A2E89"/>
    <w:rsid w:val="006A4F4E"/>
    <w:rsid w:val="006A53C6"/>
    <w:rsid w:val="006A6BD7"/>
    <w:rsid w:val="006B065E"/>
    <w:rsid w:val="006B0AC3"/>
    <w:rsid w:val="006B0BF2"/>
    <w:rsid w:val="006B11B6"/>
    <w:rsid w:val="006B2344"/>
    <w:rsid w:val="006B3C38"/>
    <w:rsid w:val="006B49D5"/>
    <w:rsid w:val="006B500D"/>
    <w:rsid w:val="006B5FFE"/>
    <w:rsid w:val="006B6ED5"/>
    <w:rsid w:val="006B7CFC"/>
    <w:rsid w:val="006C0851"/>
    <w:rsid w:val="006C12A7"/>
    <w:rsid w:val="006C3192"/>
    <w:rsid w:val="006C3D9A"/>
    <w:rsid w:val="006C4310"/>
    <w:rsid w:val="006D2A77"/>
    <w:rsid w:val="006D47B1"/>
    <w:rsid w:val="006D5305"/>
    <w:rsid w:val="006D6996"/>
    <w:rsid w:val="006E0CBC"/>
    <w:rsid w:val="006E1AB1"/>
    <w:rsid w:val="006E43C3"/>
    <w:rsid w:val="006F2CA6"/>
    <w:rsid w:val="006F6187"/>
    <w:rsid w:val="006F7C9D"/>
    <w:rsid w:val="00702448"/>
    <w:rsid w:val="00703AE0"/>
    <w:rsid w:val="0070747E"/>
    <w:rsid w:val="007075A5"/>
    <w:rsid w:val="00710D4E"/>
    <w:rsid w:val="00714113"/>
    <w:rsid w:val="00715C07"/>
    <w:rsid w:val="0072065D"/>
    <w:rsid w:val="00722D4B"/>
    <w:rsid w:val="00725447"/>
    <w:rsid w:val="00725528"/>
    <w:rsid w:val="00727C5E"/>
    <w:rsid w:val="0073058B"/>
    <w:rsid w:val="007314FA"/>
    <w:rsid w:val="00733110"/>
    <w:rsid w:val="00734F29"/>
    <w:rsid w:val="007358D4"/>
    <w:rsid w:val="007379DA"/>
    <w:rsid w:val="00737F08"/>
    <w:rsid w:val="00740FEA"/>
    <w:rsid w:val="00741365"/>
    <w:rsid w:val="00743109"/>
    <w:rsid w:val="007436C2"/>
    <w:rsid w:val="00744738"/>
    <w:rsid w:val="00745934"/>
    <w:rsid w:val="00747F06"/>
    <w:rsid w:val="0075074F"/>
    <w:rsid w:val="00754D8D"/>
    <w:rsid w:val="00755150"/>
    <w:rsid w:val="00755DA4"/>
    <w:rsid w:val="00756955"/>
    <w:rsid w:val="00761155"/>
    <w:rsid w:val="007647F3"/>
    <w:rsid w:val="00766252"/>
    <w:rsid w:val="0076654A"/>
    <w:rsid w:val="007729A6"/>
    <w:rsid w:val="00772F05"/>
    <w:rsid w:val="0077354A"/>
    <w:rsid w:val="00774ADD"/>
    <w:rsid w:val="00775699"/>
    <w:rsid w:val="00776BF3"/>
    <w:rsid w:val="00777BF1"/>
    <w:rsid w:val="00780701"/>
    <w:rsid w:val="00781B12"/>
    <w:rsid w:val="007853D1"/>
    <w:rsid w:val="007879E4"/>
    <w:rsid w:val="00792D59"/>
    <w:rsid w:val="0079519D"/>
    <w:rsid w:val="007A1DDB"/>
    <w:rsid w:val="007A7A27"/>
    <w:rsid w:val="007B0FF2"/>
    <w:rsid w:val="007B1191"/>
    <w:rsid w:val="007B3636"/>
    <w:rsid w:val="007B53A1"/>
    <w:rsid w:val="007B5CDB"/>
    <w:rsid w:val="007C02F6"/>
    <w:rsid w:val="007C12B3"/>
    <w:rsid w:val="007C2948"/>
    <w:rsid w:val="007C3AA2"/>
    <w:rsid w:val="007C409A"/>
    <w:rsid w:val="007C67AF"/>
    <w:rsid w:val="007D00FB"/>
    <w:rsid w:val="007D11CA"/>
    <w:rsid w:val="007D2D24"/>
    <w:rsid w:val="007D668A"/>
    <w:rsid w:val="007E1C5D"/>
    <w:rsid w:val="007E3264"/>
    <w:rsid w:val="007E3C87"/>
    <w:rsid w:val="007E53EE"/>
    <w:rsid w:val="007E7120"/>
    <w:rsid w:val="007F009F"/>
    <w:rsid w:val="007F3B5E"/>
    <w:rsid w:val="007F54A4"/>
    <w:rsid w:val="007F54C7"/>
    <w:rsid w:val="008015CB"/>
    <w:rsid w:val="00801807"/>
    <w:rsid w:val="00801CD1"/>
    <w:rsid w:val="00801D0F"/>
    <w:rsid w:val="00802255"/>
    <w:rsid w:val="008046C5"/>
    <w:rsid w:val="00811A33"/>
    <w:rsid w:val="008129D6"/>
    <w:rsid w:val="00816FA8"/>
    <w:rsid w:val="00817716"/>
    <w:rsid w:val="008213E4"/>
    <w:rsid w:val="008222DB"/>
    <w:rsid w:val="008227ED"/>
    <w:rsid w:val="00822DEE"/>
    <w:rsid w:val="008240A4"/>
    <w:rsid w:val="008240C7"/>
    <w:rsid w:val="00825126"/>
    <w:rsid w:val="008261B0"/>
    <w:rsid w:val="008271A7"/>
    <w:rsid w:val="00832BE9"/>
    <w:rsid w:val="00833B47"/>
    <w:rsid w:val="00834452"/>
    <w:rsid w:val="00836723"/>
    <w:rsid w:val="00840268"/>
    <w:rsid w:val="00842014"/>
    <w:rsid w:val="00842B73"/>
    <w:rsid w:val="0084514C"/>
    <w:rsid w:val="00847EB4"/>
    <w:rsid w:val="0085010A"/>
    <w:rsid w:val="00855952"/>
    <w:rsid w:val="00855B05"/>
    <w:rsid w:val="00860861"/>
    <w:rsid w:val="00863522"/>
    <w:rsid w:val="00866FE7"/>
    <w:rsid w:val="008679AA"/>
    <w:rsid w:val="00870241"/>
    <w:rsid w:val="00876B51"/>
    <w:rsid w:val="00880AAA"/>
    <w:rsid w:val="00881C40"/>
    <w:rsid w:val="008825CF"/>
    <w:rsid w:val="00883ED5"/>
    <w:rsid w:val="00884059"/>
    <w:rsid w:val="00886EE0"/>
    <w:rsid w:val="00886F63"/>
    <w:rsid w:val="0089092F"/>
    <w:rsid w:val="008909AF"/>
    <w:rsid w:val="00891B52"/>
    <w:rsid w:val="008A0487"/>
    <w:rsid w:val="008A0BA8"/>
    <w:rsid w:val="008A1A2F"/>
    <w:rsid w:val="008A1E27"/>
    <w:rsid w:val="008A3C3B"/>
    <w:rsid w:val="008A4E20"/>
    <w:rsid w:val="008A5F78"/>
    <w:rsid w:val="008A64C9"/>
    <w:rsid w:val="008A6B28"/>
    <w:rsid w:val="008A6C64"/>
    <w:rsid w:val="008B3F38"/>
    <w:rsid w:val="008B3F6B"/>
    <w:rsid w:val="008B4115"/>
    <w:rsid w:val="008B48B7"/>
    <w:rsid w:val="008B51EF"/>
    <w:rsid w:val="008B5FD5"/>
    <w:rsid w:val="008B7093"/>
    <w:rsid w:val="008C0E8C"/>
    <w:rsid w:val="008C2424"/>
    <w:rsid w:val="008D3450"/>
    <w:rsid w:val="008D41F3"/>
    <w:rsid w:val="008D616A"/>
    <w:rsid w:val="008D6D62"/>
    <w:rsid w:val="008E034E"/>
    <w:rsid w:val="008E0638"/>
    <w:rsid w:val="008E0D5E"/>
    <w:rsid w:val="008E1947"/>
    <w:rsid w:val="008E1E78"/>
    <w:rsid w:val="008E5550"/>
    <w:rsid w:val="008E55BF"/>
    <w:rsid w:val="008E662F"/>
    <w:rsid w:val="008E6E75"/>
    <w:rsid w:val="008F055F"/>
    <w:rsid w:val="008F18F1"/>
    <w:rsid w:val="008F1D50"/>
    <w:rsid w:val="008F39C2"/>
    <w:rsid w:val="008F3F62"/>
    <w:rsid w:val="008F4815"/>
    <w:rsid w:val="008F5251"/>
    <w:rsid w:val="008F69EE"/>
    <w:rsid w:val="00900FFB"/>
    <w:rsid w:val="0090174F"/>
    <w:rsid w:val="009039E5"/>
    <w:rsid w:val="009068DF"/>
    <w:rsid w:val="00915AF4"/>
    <w:rsid w:val="00921B5D"/>
    <w:rsid w:val="00926E30"/>
    <w:rsid w:val="00927FFB"/>
    <w:rsid w:val="00933138"/>
    <w:rsid w:val="0093642C"/>
    <w:rsid w:val="00936CEE"/>
    <w:rsid w:val="00936EC4"/>
    <w:rsid w:val="00937693"/>
    <w:rsid w:val="0093785C"/>
    <w:rsid w:val="00943595"/>
    <w:rsid w:val="00943ED2"/>
    <w:rsid w:val="009442F9"/>
    <w:rsid w:val="00944300"/>
    <w:rsid w:val="0094684F"/>
    <w:rsid w:val="0094748C"/>
    <w:rsid w:val="0095069E"/>
    <w:rsid w:val="00951A6C"/>
    <w:rsid w:val="00952D46"/>
    <w:rsid w:val="0095321A"/>
    <w:rsid w:val="009569FC"/>
    <w:rsid w:val="00962F1A"/>
    <w:rsid w:val="00963FF3"/>
    <w:rsid w:val="0096515C"/>
    <w:rsid w:val="00966A35"/>
    <w:rsid w:val="00970E74"/>
    <w:rsid w:val="00971366"/>
    <w:rsid w:val="00973DCF"/>
    <w:rsid w:val="00974755"/>
    <w:rsid w:val="009747C4"/>
    <w:rsid w:val="00977F7F"/>
    <w:rsid w:val="00980770"/>
    <w:rsid w:val="009818BD"/>
    <w:rsid w:val="00982B48"/>
    <w:rsid w:val="0098385D"/>
    <w:rsid w:val="0098432E"/>
    <w:rsid w:val="00984AD8"/>
    <w:rsid w:val="009857F5"/>
    <w:rsid w:val="009867B4"/>
    <w:rsid w:val="0099401D"/>
    <w:rsid w:val="00995EDD"/>
    <w:rsid w:val="00997830"/>
    <w:rsid w:val="00997AAB"/>
    <w:rsid w:val="009A00EC"/>
    <w:rsid w:val="009A279F"/>
    <w:rsid w:val="009A300B"/>
    <w:rsid w:val="009A3177"/>
    <w:rsid w:val="009A3E2C"/>
    <w:rsid w:val="009A43BD"/>
    <w:rsid w:val="009A6002"/>
    <w:rsid w:val="009A7D16"/>
    <w:rsid w:val="009B472B"/>
    <w:rsid w:val="009B58FD"/>
    <w:rsid w:val="009B63C1"/>
    <w:rsid w:val="009B6D7F"/>
    <w:rsid w:val="009B701F"/>
    <w:rsid w:val="009C03D1"/>
    <w:rsid w:val="009C0476"/>
    <w:rsid w:val="009C1396"/>
    <w:rsid w:val="009C490C"/>
    <w:rsid w:val="009C6CD3"/>
    <w:rsid w:val="009C73D3"/>
    <w:rsid w:val="009D06CA"/>
    <w:rsid w:val="009D1B5C"/>
    <w:rsid w:val="009D3D45"/>
    <w:rsid w:val="009D5C64"/>
    <w:rsid w:val="009D5C77"/>
    <w:rsid w:val="009E0E25"/>
    <w:rsid w:val="009E3FA9"/>
    <w:rsid w:val="009E59A1"/>
    <w:rsid w:val="009E6B2F"/>
    <w:rsid w:val="009F0D2B"/>
    <w:rsid w:val="009F0ECC"/>
    <w:rsid w:val="009F1AAB"/>
    <w:rsid w:val="009F2A5A"/>
    <w:rsid w:val="009F4598"/>
    <w:rsid w:val="009F5A3C"/>
    <w:rsid w:val="009F7A42"/>
    <w:rsid w:val="009F7E91"/>
    <w:rsid w:val="00A00165"/>
    <w:rsid w:val="00A02056"/>
    <w:rsid w:val="00A104C5"/>
    <w:rsid w:val="00A116E0"/>
    <w:rsid w:val="00A144F7"/>
    <w:rsid w:val="00A149FC"/>
    <w:rsid w:val="00A15CCF"/>
    <w:rsid w:val="00A16291"/>
    <w:rsid w:val="00A17F96"/>
    <w:rsid w:val="00A23D2C"/>
    <w:rsid w:val="00A2481B"/>
    <w:rsid w:val="00A2722E"/>
    <w:rsid w:val="00A31704"/>
    <w:rsid w:val="00A332FA"/>
    <w:rsid w:val="00A33BAD"/>
    <w:rsid w:val="00A37932"/>
    <w:rsid w:val="00A40F2E"/>
    <w:rsid w:val="00A40F87"/>
    <w:rsid w:val="00A41916"/>
    <w:rsid w:val="00A43166"/>
    <w:rsid w:val="00A4405A"/>
    <w:rsid w:val="00A47644"/>
    <w:rsid w:val="00A507F6"/>
    <w:rsid w:val="00A52F2E"/>
    <w:rsid w:val="00A54A96"/>
    <w:rsid w:val="00A57D29"/>
    <w:rsid w:val="00A57EB4"/>
    <w:rsid w:val="00A641CE"/>
    <w:rsid w:val="00A64614"/>
    <w:rsid w:val="00A65EE1"/>
    <w:rsid w:val="00A71698"/>
    <w:rsid w:val="00A730A8"/>
    <w:rsid w:val="00A744EB"/>
    <w:rsid w:val="00A74C97"/>
    <w:rsid w:val="00A81716"/>
    <w:rsid w:val="00A817B2"/>
    <w:rsid w:val="00A81E74"/>
    <w:rsid w:val="00A84EA8"/>
    <w:rsid w:val="00A85D1A"/>
    <w:rsid w:val="00A86A4A"/>
    <w:rsid w:val="00A8767B"/>
    <w:rsid w:val="00A90A0A"/>
    <w:rsid w:val="00A92430"/>
    <w:rsid w:val="00A960C0"/>
    <w:rsid w:val="00A977DC"/>
    <w:rsid w:val="00AA37A5"/>
    <w:rsid w:val="00AA5486"/>
    <w:rsid w:val="00AA5923"/>
    <w:rsid w:val="00AB37DC"/>
    <w:rsid w:val="00AB66E0"/>
    <w:rsid w:val="00AB6712"/>
    <w:rsid w:val="00AB6965"/>
    <w:rsid w:val="00AC06B2"/>
    <w:rsid w:val="00AC076D"/>
    <w:rsid w:val="00AC169F"/>
    <w:rsid w:val="00AC31AF"/>
    <w:rsid w:val="00AC371D"/>
    <w:rsid w:val="00AC7032"/>
    <w:rsid w:val="00AD1267"/>
    <w:rsid w:val="00AD4EEC"/>
    <w:rsid w:val="00AD50C0"/>
    <w:rsid w:val="00AD613E"/>
    <w:rsid w:val="00AD68A4"/>
    <w:rsid w:val="00AE1DC7"/>
    <w:rsid w:val="00AE3B42"/>
    <w:rsid w:val="00AE3D10"/>
    <w:rsid w:val="00AE42DA"/>
    <w:rsid w:val="00AE4F94"/>
    <w:rsid w:val="00AF10EA"/>
    <w:rsid w:val="00AF4C7A"/>
    <w:rsid w:val="00AF60C3"/>
    <w:rsid w:val="00AF63FE"/>
    <w:rsid w:val="00B00301"/>
    <w:rsid w:val="00B01A22"/>
    <w:rsid w:val="00B03A36"/>
    <w:rsid w:val="00B043A3"/>
    <w:rsid w:val="00B05C3C"/>
    <w:rsid w:val="00B11E2C"/>
    <w:rsid w:val="00B11F08"/>
    <w:rsid w:val="00B12D64"/>
    <w:rsid w:val="00B130A6"/>
    <w:rsid w:val="00B15274"/>
    <w:rsid w:val="00B16881"/>
    <w:rsid w:val="00B174C3"/>
    <w:rsid w:val="00B2278D"/>
    <w:rsid w:val="00B25439"/>
    <w:rsid w:val="00B26263"/>
    <w:rsid w:val="00B301D1"/>
    <w:rsid w:val="00B35DDB"/>
    <w:rsid w:val="00B40267"/>
    <w:rsid w:val="00B41C87"/>
    <w:rsid w:val="00B46231"/>
    <w:rsid w:val="00B51B73"/>
    <w:rsid w:val="00B52077"/>
    <w:rsid w:val="00B53354"/>
    <w:rsid w:val="00B5489C"/>
    <w:rsid w:val="00B6390F"/>
    <w:rsid w:val="00B651BE"/>
    <w:rsid w:val="00B65994"/>
    <w:rsid w:val="00B65F59"/>
    <w:rsid w:val="00B6666C"/>
    <w:rsid w:val="00B715F6"/>
    <w:rsid w:val="00B72817"/>
    <w:rsid w:val="00B75F68"/>
    <w:rsid w:val="00B773F9"/>
    <w:rsid w:val="00B825CD"/>
    <w:rsid w:val="00B84093"/>
    <w:rsid w:val="00B86F62"/>
    <w:rsid w:val="00B91095"/>
    <w:rsid w:val="00B97237"/>
    <w:rsid w:val="00BA41E9"/>
    <w:rsid w:val="00BA5007"/>
    <w:rsid w:val="00BA51F9"/>
    <w:rsid w:val="00BA6F56"/>
    <w:rsid w:val="00BB007B"/>
    <w:rsid w:val="00BB2492"/>
    <w:rsid w:val="00BB2519"/>
    <w:rsid w:val="00BB39F3"/>
    <w:rsid w:val="00BB4AD1"/>
    <w:rsid w:val="00BB70A0"/>
    <w:rsid w:val="00BB7C27"/>
    <w:rsid w:val="00BC0194"/>
    <w:rsid w:val="00BD246B"/>
    <w:rsid w:val="00BD3F2C"/>
    <w:rsid w:val="00BD4077"/>
    <w:rsid w:val="00BD5982"/>
    <w:rsid w:val="00BD7263"/>
    <w:rsid w:val="00BE1985"/>
    <w:rsid w:val="00BE2CE6"/>
    <w:rsid w:val="00BE3003"/>
    <w:rsid w:val="00BE3D0F"/>
    <w:rsid w:val="00BE3FE8"/>
    <w:rsid w:val="00BE4465"/>
    <w:rsid w:val="00BE50B1"/>
    <w:rsid w:val="00BF3B53"/>
    <w:rsid w:val="00BF5BAD"/>
    <w:rsid w:val="00BF7748"/>
    <w:rsid w:val="00BF7882"/>
    <w:rsid w:val="00C03D5E"/>
    <w:rsid w:val="00C1183D"/>
    <w:rsid w:val="00C11B72"/>
    <w:rsid w:val="00C11B73"/>
    <w:rsid w:val="00C12B7E"/>
    <w:rsid w:val="00C12BA5"/>
    <w:rsid w:val="00C14886"/>
    <w:rsid w:val="00C14E0A"/>
    <w:rsid w:val="00C14F18"/>
    <w:rsid w:val="00C20AAA"/>
    <w:rsid w:val="00C21943"/>
    <w:rsid w:val="00C22E69"/>
    <w:rsid w:val="00C24687"/>
    <w:rsid w:val="00C249A6"/>
    <w:rsid w:val="00C25488"/>
    <w:rsid w:val="00C302B2"/>
    <w:rsid w:val="00C3033F"/>
    <w:rsid w:val="00C3153B"/>
    <w:rsid w:val="00C3210B"/>
    <w:rsid w:val="00C3338A"/>
    <w:rsid w:val="00C40E18"/>
    <w:rsid w:val="00C41662"/>
    <w:rsid w:val="00C424C3"/>
    <w:rsid w:val="00C4412C"/>
    <w:rsid w:val="00C443C3"/>
    <w:rsid w:val="00C44DAD"/>
    <w:rsid w:val="00C5006B"/>
    <w:rsid w:val="00C507EA"/>
    <w:rsid w:val="00C53A65"/>
    <w:rsid w:val="00C54124"/>
    <w:rsid w:val="00C55457"/>
    <w:rsid w:val="00C63275"/>
    <w:rsid w:val="00C673C3"/>
    <w:rsid w:val="00C70533"/>
    <w:rsid w:val="00C70F82"/>
    <w:rsid w:val="00C75FC6"/>
    <w:rsid w:val="00C76D51"/>
    <w:rsid w:val="00C805F4"/>
    <w:rsid w:val="00C81029"/>
    <w:rsid w:val="00C813AB"/>
    <w:rsid w:val="00C81F5A"/>
    <w:rsid w:val="00C84D15"/>
    <w:rsid w:val="00C900C9"/>
    <w:rsid w:val="00C902AE"/>
    <w:rsid w:val="00C925AF"/>
    <w:rsid w:val="00C93C1D"/>
    <w:rsid w:val="00CA3CE1"/>
    <w:rsid w:val="00CA5CE6"/>
    <w:rsid w:val="00CA72EA"/>
    <w:rsid w:val="00CA7776"/>
    <w:rsid w:val="00CA7FB4"/>
    <w:rsid w:val="00CB10EF"/>
    <w:rsid w:val="00CB2410"/>
    <w:rsid w:val="00CB2CE0"/>
    <w:rsid w:val="00CB3F84"/>
    <w:rsid w:val="00CB4A56"/>
    <w:rsid w:val="00CB6E85"/>
    <w:rsid w:val="00CB714B"/>
    <w:rsid w:val="00CB75E1"/>
    <w:rsid w:val="00CC1C20"/>
    <w:rsid w:val="00CC3AB3"/>
    <w:rsid w:val="00CC4570"/>
    <w:rsid w:val="00CC4AB7"/>
    <w:rsid w:val="00CC5817"/>
    <w:rsid w:val="00CD17CB"/>
    <w:rsid w:val="00CD290C"/>
    <w:rsid w:val="00CD407D"/>
    <w:rsid w:val="00CD5EB3"/>
    <w:rsid w:val="00CD6E06"/>
    <w:rsid w:val="00CD6F4E"/>
    <w:rsid w:val="00CD7C8D"/>
    <w:rsid w:val="00CD7FB4"/>
    <w:rsid w:val="00CE0BF2"/>
    <w:rsid w:val="00CE0C05"/>
    <w:rsid w:val="00CE0D51"/>
    <w:rsid w:val="00CE3642"/>
    <w:rsid w:val="00CE5914"/>
    <w:rsid w:val="00CE5B77"/>
    <w:rsid w:val="00CE72D5"/>
    <w:rsid w:val="00D01542"/>
    <w:rsid w:val="00D0287E"/>
    <w:rsid w:val="00D0460F"/>
    <w:rsid w:val="00D068CB"/>
    <w:rsid w:val="00D072AA"/>
    <w:rsid w:val="00D07B74"/>
    <w:rsid w:val="00D12AA1"/>
    <w:rsid w:val="00D1522D"/>
    <w:rsid w:val="00D20C22"/>
    <w:rsid w:val="00D23C8A"/>
    <w:rsid w:val="00D27259"/>
    <w:rsid w:val="00D27B37"/>
    <w:rsid w:val="00D304E8"/>
    <w:rsid w:val="00D30AB9"/>
    <w:rsid w:val="00D31B3F"/>
    <w:rsid w:val="00D411D6"/>
    <w:rsid w:val="00D41B7A"/>
    <w:rsid w:val="00D43097"/>
    <w:rsid w:val="00D4380B"/>
    <w:rsid w:val="00D45D09"/>
    <w:rsid w:val="00D47D2A"/>
    <w:rsid w:val="00D51DC1"/>
    <w:rsid w:val="00D55772"/>
    <w:rsid w:val="00D5701A"/>
    <w:rsid w:val="00D57241"/>
    <w:rsid w:val="00D57BEE"/>
    <w:rsid w:val="00D6121C"/>
    <w:rsid w:val="00D616E3"/>
    <w:rsid w:val="00D6196F"/>
    <w:rsid w:val="00D61C3C"/>
    <w:rsid w:val="00D62A6D"/>
    <w:rsid w:val="00D63E95"/>
    <w:rsid w:val="00D64963"/>
    <w:rsid w:val="00D64A03"/>
    <w:rsid w:val="00D6506F"/>
    <w:rsid w:val="00D65B87"/>
    <w:rsid w:val="00D668A2"/>
    <w:rsid w:val="00D66CC5"/>
    <w:rsid w:val="00D67384"/>
    <w:rsid w:val="00D67466"/>
    <w:rsid w:val="00D676ED"/>
    <w:rsid w:val="00D704E7"/>
    <w:rsid w:val="00D74D62"/>
    <w:rsid w:val="00D778C1"/>
    <w:rsid w:val="00D81280"/>
    <w:rsid w:val="00D83247"/>
    <w:rsid w:val="00D84908"/>
    <w:rsid w:val="00D87222"/>
    <w:rsid w:val="00D872B2"/>
    <w:rsid w:val="00D90211"/>
    <w:rsid w:val="00D91C31"/>
    <w:rsid w:val="00D91F7A"/>
    <w:rsid w:val="00D94B18"/>
    <w:rsid w:val="00D9641E"/>
    <w:rsid w:val="00DA114B"/>
    <w:rsid w:val="00DB052D"/>
    <w:rsid w:val="00DB19E2"/>
    <w:rsid w:val="00DB6ED6"/>
    <w:rsid w:val="00DB78F7"/>
    <w:rsid w:val="00DC1315"/>
    <w:rsid w:val="00DC37C6"/>
    <w:rsid w:val="00DC5F79"/>
    <w:rsid w:val="00DC7270"/>
    <w:rsid w:val="00DE0CD2"/>
    <w:rsid w:val="00DE395C"/>
    <w:rsid w:val="00DE3BB6"/>
    <w:rsid w:val="00DE4393"/>
    <w:rsid w:val="00DE5317"/>
    <w:rsid w:val="00DE68F7"/>
    <w:rsid w:val="00DE7AB1"/>
    <w:rsid w:val="00DF0457"/>
    <w:rsid w:val="00DF3E69"/>
    <w:rsid w:val="00DF6E9B"/>
    <w:rsid w:val="00DF7602"/>
    <w:rsid w:val="00E007CE"/>
    <w:rsid w:val="00E009A0"/>
    <w:rsid w:val="00E02D5B"/>
    <w:rsid w:val="00E03C86"/>
    <w:rsid w:val="00E05AA1"/>
    <w:rsid w:val="00E10D31"/>
    <w:rsid w:val="00E14049"/>
    <w:rsid w:val="00E1572F"/>
    <w:rsid w:val="00E16683"/>
    <w:rsid w:val="00E202A0"/>
    <w:rsid w:val="00E210F3"/>
    <w:rsid w:val="00E21DC1"/>
    <w:rsid w:val="00E22CA9"/>
    <w:rsid w:val="00E2438F"/>
    <w:rsid w:val="00E247A2"/>
    <w:rsid w:val="00E24A67"/>
    <w:rsid w:val="00E2776E"/>
    <w:rsid w:val="00E27EBE"/>
    <w:rsid w:val="00E32197"/>
    <w:rsid w:val="00E32D8F"/>
    <w:rsid w:val="00E339FF"/>
    <w:rsid w:val="00E34858"/>
    <w:rsid w:val="00E43998"/>
    <w:rsid w:val="00E4482B"/>
    <w:rsid w:val="00E466CE"/>
    <w:rsid w:val="00E479DA"/>
    <w:rsid w:val="00E50DEC"/>
    <w:rsid w:val="00E54153"/>
    <w:rsid w:val="00E5670D"/>
    <w:rsid w:val="00E60065"/>
    <w:rsid w:val="00E634F8"/>
    <w:rsid w:val="00E63C1D"/>
    <w:rsid w:val="00E64AA0"/>
    <w:rsid w:val="00E6576E"/>
    <w:rsid w:val="00E668B0"/>
    <w:rsid w:val="00E66F4B"/>
    <w:rsid w:val="00E67802"/>
    <w:rsid w:val="00E70DC5"/>
    <w:rsid w:val="00E72B73"/>
    <w:rsid w:val="00E74FB5"/>
    <w:rsid w:val="00E76E9D"/>
    <w:rsid w:val="00E775DA"/>
    <w:rsid w:val="00E83276"/>
    <w:rsid w:val="00E86FB6"/>
    <w:rsid w:val="00E8751C"/>
    <w:rsid w:val="00E935D1"/>
    <w:rsid w:val="00E94B69"/>
    <w:rsid w:val="00EA2F11"/>
    <w:rsid w:val="00EA326B"/>
    <w:rsid w:val="00EA4EDC"/>
    <w:rsid w:val="00EA6302"/>
    <w:rsid w:val="00EB1444"/>
    <w:rsid w:val="00EB2786"/>
    <w:rsid w:val="00EB2834"/>
    <w:rsid w:val="00EB569F"/>
    <w:rsid w:val="00EB58D3"/>
    <w:rsid w:val="00EB615E"/>
    <w:rsid w:val="00EB674C"/>
    <w:rsid w:val="00EC243B"/>
    <w:rsid w:val="00EC26C1"/>
    <w:rsid w:val="00EC329F"/>
    <w:rsid w:val="00EC5A61"/>
    <w:rsid w:val="00EC6A25"/>
    <w:rsid w:val="00EC7265"/>
    <w:rsid w:val="00ED09FA"/>
    <w:rsid w:val="00ED16C9"/>
    <w:rsid w:val="00ED373A"/>
    <w:rsid w:val="00ED440F"/>
    <w:rsid w:val="00EF20CA"/>
    <w:rsid w:val="00EF291D"/>
    <w:rsid w:val="00EF613B"/>
    <w:rsid w:val="00EF666A"/>
    <w:rsid w:val="00F00D36"/>
    <w:rsid w:val="00F01782"/>
    <w:rsid w:val="00F023DA"/>
    <w:rsid w:val="00F02B38"/>
    <w:rsid w:val="00F05B0B"/>
    <w:rsid w:val="00F118A8"/>
    <w:rsid w:val="00F11942"/>
    <w:rsid w:val="00F13700"/>
    <w:rsid w:val="00F14012"/>
    <w:rsid w:val="00F14328"/>
    <w:rsid w:val="00F17046"/>
    <w:rsid w:val="00F21574"/>
    <w:rsid w:val="00F21A0E"/>
    <w:rsid w:val="00F22364"/>
    <w:rsid w:val="00F2652C"/>
    <w:rsid w:val="00F27CEA"/>
    <w:rsid w:val="00F35634"/>
    <w:rsid w:val="00F35D2D"/>
    <w:rsid w:val="00F35DB1"/>
    <w:rsid w:val="00F367FA"/>
    <w:rsid w:val="00F449C0"/>
    <w:rsid w:val="00F47590"/>
    <w:rsid w:val="00F500A7"/>
    <w:rsid w:val="00F515E9"/>
    <w:rsid w:val="00F51ADF"/>
    <w:rsid w:val="00F51EDD"/>
    <w:rsid w:val="00F52F79"/>
    <w:rsid w:val="00F53DFA"/>
    <w:rsid w:val="00F55B44"/>
    <w:rsid w:val="00F603C4"/>
    <w:rsid w:val="00F67DF6"/>
    <w:rsid w:val="00F7004E"/>
    <w:rsid w:val="00F70F1D"/>
    <w:rsid w:val="00F717D7"/>
    <w:rsid w:val="00F7260E"/>
    <w:rsid w:val="00F8087B"/>
    <w:rsid w:val="00F80B04"/>
    <w:rsid w:val="00F80D16"/>
    <w:rsid w:val="00F825F8"/>
    <w:rsid w:val="00F83A65"/>
    <w:rsid w:val="00F86DAF"/>
    <w:rsid w:val="00F907DF"/>
    <w:rsid w:val="00F91006"/>
    <w:rsid w:val="00F92220"/>
    <w:rsid w:val="00F9293F"/>
    <w:rsid w:val="00F93D9B"/>
    <w:rsid w:val="00F94D6D"/>
    <w:rsid w:val="00F953B8"/>
    <w:rsid w:val="00F958A3"/>
    <w:rsid w:val="00FA0589"/>
    <w:rsid w:val="00FA094D"/>
    <w:rsid w:val="00FA146D"/>
    <w:rsid w:val="00FA1571"/>
    <w:rsid w:val="00FA1B17"/>
    <w:rsid w:val="00FA39EF"/>
    <w:rsid w:val="00FA515D"/>
    <w:rsid w:val="00FA70F5"/>
    <w:rsid w:val="00FB24B6"/>
    <w:rsid w:val="00FB3C4E"/>
    <w:rsid w:val="00FC196C"/>
    <w:rsid w:val="00FC1A1C"/>
    <w:rsid w:val="00FC1A21"/>
    <w:rsid w:val="00FC43FC"/>
    <w:rsid w:val="00FC4AB2"/>
    <w:rsid w:val="00FC58F9"/>
    <w:rsid w:val="00FC6223"/>
    <w:rsid w:val="00FC6432"/>
    <w:rsid w:val="00FC6851"/>
    <w:rsid w:val="00FD1861"/>
    <w:rsid w:val="00FD2AFF"/>
    <w:rsid w:val="00FD62BA"/>
    <w:rsid w:val="00FE12EF"/>
    <w:rsid w:val="00FE1A3D"/>
    <w:rsid w:val="00FE6F06"/>
    <w:rsid w:val="00FE7238"/>
    <w:rsid w:val="00FE7302"/>
    <w:rsid w:val="00FF45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F41187D8-EC18-4C79-8CEE-A02546F3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B46"/>
    <w:rPr>
      <w:rFonts w:ascii="Arial" w:hAnsi="Arial"/>
      <w:sz w:val="18"/>
      <w:szCs w:val="22"/>
      <w:lang w:val="en-AU" w:eastAsia="en-US"/>
    </w:rPr>
  </w:style>
  <w:style w:type="paragraph" w:styleId="Heading1">
    <w:name w:val="heading 1"/>
    <w:next w:val="BodyText"/>
    <w:link w:val="Heading1Char"/>
    <w:qFormat/>
    <w:rsid w:val="00A960C0"/>
    <w:pPr>
      <w:keepNext/>
      <w:spacing w:before="360"/>
      <w:ind w:right="170"/>
      <w:outlineLvl w:val="0"/>
    </w:pPr>
    <w:rPr>
      <w:rFonts w:ascii="Arial" w:hAnsi="Arial"/>
      <w:b/>
      <w:bCs/>
      <w:kern w:val="32"/>
      <w:szCs w:val="32"/>
      <w:lang w:val="en-AU" w:eastAsia="en-US"/>
    </w:rPr>
  </w:style>
  <w:style w:type="paragraph" w:styleId="Heading2">
    <w:name w:val="heading 2"/>
    <w:next w:val="BodyText"/>
    <w:qFormat/>
    <w:rsid w:val="000B79F1"/>
    <w:pPr>
      <w:spacing w:before="240"/>
      <w:ind w:right="170"/>
      <w:outlineLvl w:val="1"/>
    </w:pPr>
    <w:rPr>
      <w:rFonts w:ascii="Arial" w:hAnsi="Arial"/>
      <w:b/>
      <w:bCs/>
      <w:color w:val="0096D7"/>
      <w:szCs w:val="22"/>
      <w:lang w:val="en-AU" w:eastAsia="en-US"/>
    </w:rPr>
  </w:style>
  <w:style w:type="paragraph" w:styleId="Heading3">
    <w:name w:val="heading 3"/>
    <w:next w:val="BodyText"/>
    <w:qFormat/>
    <w:rsid w:val="00A960C0"/>
    <w:pPr>
      <w:spacing w:before="120" w:after="120"/>
      <w:ind w:left="697"/>
      <w:outlineLvl w:val="2"/>
    </w:pPr>
    <w:rPr>
      <w:rFonts w:ascii="Arial" w:hAnsi="Arial"/>
      <w:b/>
      <w:bCs/>
      <w:color w:val="1E4164"/>
      <w:szCs w:val="22"/>
      <w:lang w:val="en-AU" w:eastAsia="en-US"/>
    </w:rPr>
  </w:style>
  <w:style w:type="paragraph" w:styleId="Heading4">
    <w:name w:val="heading 4"/>
    <w:next w:val="BodyText"/>
    <w:qFormat/>
    <w:rsid w:val="000B79F1"/>
    <w:pPr>
      <w:spacing w:before="120"/>
      <w:ind w:left="697" w:right="170"/>
      <w:outlineLvl w:val="3"/>
    </w:pPr>
    <w:rPr>
      <w:rFonts w:ascii="Arial" w:hAnsi="Arial"/>
      <w:b/>
      <w:sz w:val="18"/>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umbered">
    <w:name w:val="Heading 1 Numbered"/>
    <w:rsid w:val="00A960C0"/>
    <w:pPr>
      <w:numPr>
        <w:numId w:val="3"/>
      </w:numPr>
      <w:spacing w:before="360"/>
    </w:pPr>
    <w:rPr>
      <w:rFonts w:ascii="Arial" w:hAnsi="Arial"/>
      <w:b/>
      <w:bCs/>
      <w:kern w:val="32"/>
      <w:szCs w:val="32"/>
      <w:lang w:val="en-AU" w:eastAsia="en-US"/>
    </w:rPr>
  </w:style>
  <w:style w:type="paragraph" w:styleId="ListBullet">
    <w:name w:val="List Bullet"/>
    <w:rsid w:val="00383767"/>
    <w:pPr>
      <w:numPr>
        <w:numId w:val="1"/>
      </w:numPr>
      <w:spacing w:before="60"/>
      <w:ind w:left="1037" w:hanging="340"/>
    </w:pPr>
    <w:rPr>
      <w:rFonts w:ascii="Arial" w:hAnsi="Arial"/>
      <w:sz w:val="18"/>
      <w:szCs w:val="22"/>
      <w:lang w:val="en-AU" w:eastAsia="en-US"/>
    </w:rPr>
  </w:style>
  <w:style w:type="paragraph" w:styleId="ListNumber">
    <w:name w:val="List Number"/>
    <w:rsid w:val="00383767"/>
    <w:pPr>
      <w:numPr>
        <w:numId w:val="2"/>
      </w:numPr>
      <w:spacing w:before="60"/>
      <w:ind w:left="1037" w:hanging="340"/>
    </w:pPr>
    <w:rPr>
      <w:rFonts w:ascii="Arial" w:hAnsi="Arial"/>
      <w:sz w:val="18"/>
      <w:szCs w:val="22"/>
      <w:lang w:val="en-AU" w:eastAsia="en-US"/>
    </w:rPr>
  </w:style>
  <w:style w:type="table" w:styleId="TableGrid">
    <w:name w:val="Table Grid"/>
    <w:basedOn w:val="TableNormal"/>
    <w:uiPriority w:val="59"/>
    <w:rsid w:val="00977F7F"/>
    <w:rPr>
      <w:rFonts w:ascii="Arial" w:hAnsi="Arial"/>
      <w:sz w:val="18"/>
    </w:rPr>
    <w:tblPr>
      <w:tblInd w:w="794" w:type="dxa"/>
      <w:tblBorders>
        <w:bottom w:val="single" w:sz="6" w:space="0" w:color="0096D7"/>
        <w:insideH w:val="single" w:sz="6" w:space="0" w:color="0096D7"/>
      </w:tblBorders>
      <w:tblCellMar>
        <w:top w:w="85" w:type="dxa"/>
        <w:left w:w="85" w:type="dxa"/>
        <w:bottom w:w="85" w:type="dxa"/>
        <w:right w:w="85" w:type="dxa"/>
      </w:tblCellMar>
    </w:tblPr>
    <w:tblStylePr w:type="firstRow">
      <w:rPr>
        <w:b/>
        <w:color w:val="FFFFFF"/>
      </w:rPr>
      <w:tblPr/>
      <w:tcPr>
        <w:shd w:val="clear" w:color="auto" w:fill="0096D7"/>
      </w:tcPr>
    </w:tblStylePr>
  </w:style>
  <w:style w:type="paragraph" w:styleId="Header">
    <w:name w:val="header"/>
    <w:basedOn w:val="Normal"/>
    <w:link w:val="HeaderChar"/>
    <w:uiPriority w:val="99"/>
    <w:rsid w:val="00997830"/>
    <w:pPr>
      <w:tabs>
        <w:tab w:val="center" w:pos="4513"/>
        <w:tab w:val="right" w:pos="9026"/>
      </w:tabs>
    </w:pPr>
  </w:style>
  <w:style w:type="character" w:customStyle="1" w:styleId="HeaderChar">
    <w:name w:val="Header Char"/>
    <w:basedOn w:val="DefaultParagraphFont"/>
    <w:link w:val="Header"/>
    <w:uiPriority w:val="99"/>
    <w:rsid w:val="00997830"/>
    <w:rPr>
      <w:rFonts w:ascii="Arial" w:hAnsi="Arial"/>
      <w:sz w:val="22"/>
      <w:szCs w:val="22"/>
      <w:lang w:eastAsia="en-US"/>
    </w:rPr>
  </w:style>
  <w:style w:type="paragraph" w:styleId="Footer">
    <w:name w:val="footer"/>
    <w:basedOn w:val="Normal"/>
    <w:link w:val="FooterChar"/>
    <w:uiPriority w:val="99"/>
    <w:rsid w:val="00997830"/>
    <w:pPr>
      <w:tabs>
        <w:tab w:val="center" w:pos="4513"/>
        <w:tab w:val="right" w:pos="9026"/>
      </w:tabs>
    </w:pPr>
  </w:style>
  <w:style w:type="character" w:customStyle="1" w:styleId="FooterChar">
    <w:name w:val="Footer Char"/>
    <w:basedOn w:val="DefaultParagraphFont"/>
    <w:link w:val="Footer"/>
    <w:uiPriority w:val="99"/>
    <w:rsid w:val="00997830"/>
    <w:rPr>
      <w:rFonts w:ascii="Arial" w:hAnsi="Arial"/>
      <w:sz w:val="22"/>
      <w:szCs w:val="22"/>
      <w:lang w:eastAsia="en-US"/>
    </w:rPr>
  </w:style>
  <w:style w:type="character" w:styleId="Hyperlink">
    <w:name w:val="Hyperlink"/>
    <w:basedOn w:val="DefaultParagraphFont"/>
    <w:uiPriority w:val="99"/>
    <w:rsid w:val="0064244C"/>
    <w:rPr>
      <w:color w:val="0000FF"/>
      <w:u w:val="single"/>
    </w:rPr>
  </w:style>
  <w:style w:type="character" w:customStyle="1" w:styleId="Heading1Char">
    <w:name w:val="Heading 1 Char"/>
    <w:basedOn w:val="DefaultParagraphFont"/>
    <w:link w:val="Heading1"/>
    <w:rsid w:val="00A960C0"/>
    <w:rPr>
      <w:rFonts w:ascii="Arial" w:hAnsi="Arial"/>
      <w:b/>
      <w:bCs/>
      <w:kern w:val="32"/>
      <w:szCs w:val="32"/>
      <w:lang w:val="en-AU" w:eastAsia="en-US" w:bidi="ar-SA"/>
    </w:rPr>
  </w:style>
  <w:style w:type="paragraph" w:styleId="TOC1">
    <w:name w:val="toc 1"/>
    <w:basedOn w:val="Normal"/>
    <w:next w:val="Normal"/>
    <w:autoRedefine/>
    <w:uiPriority w:val="39"/>
    <w:rsid w:val="008F5251"/>
    <w:pPr>
      <w:tabs>
        <w:tab w:val="right" w:pos="1418"/>
        <w:tab w:val="right" w:pos="9072"/>
      </w:tabs>
      <w:spacing w:before="120" w:line="288" w:lineRule="auto"/>
      <w:ind w:left="476" w:right="324"/>
    </w:pPr>
    <w:rPr>
      <w:color w:val="009ED7"/>
      <w:sz w:val="22"/>
    </w:rPr>
  </w:style>
  <w:style w:type="paragraph" w:styleId="TOC2">
    <w:name w:val="toc 2"/>
    <w:basedOn w:val="Normal"/>
    <w:next w:val="Normal"/>
    <w:autoRedefine/>
    <w:semiHidden/>
    <w:rsid w:val="00B5489C"/>
    <w:pPr>
      <w:ind w:left="220"/>
    </w:pPr>
    <w:rPr>
      <w:color w:val="009ED7"/>
    </w:rPr>
  </w:style>
  <w:style w:type="paragraph" w:styleId="TOC3">
    <w:name w:val="toc 3"/>
    <w:basedOn w:val="Normal"/>
    <w:next w:val="Normal"/>
    <w:autoRedefine/>
    <w:semiHidden/>
    <w:rsid w:val="00B5489C"/>
    <w:pPr>
      <w:ind w:left="440"/>
    </w:pPr>
    <w:rPr>
      <w:color w:val="009ED7"/>
    </w:rPr>
  </w:style>
  <w:style w:type="paragraph" w:styleId="ListBullet2">
    <w:name w:val="List Bullet 2"/>
    <w:rsid w:val="00383767"/>
    <w:pPr>
      <w:numPr>
        <w:ilvl w:val="1"/>
        <w:numId w:val="1"/>
      </w:numPr>
      <w:spacing w:before="60"/>
    </w:pPr>
    <w:rPr>
      <w:rFonts w:ascii="Arial" w:hAnsi="Arial"/>
      <w:sz w:val="18"/>
      <w:szCs w:val="22"/>
      <w:lang w:val="en-AU" w:eastAsia="en-US"/>
    </w:rPr>
  </w:style>
  <w:style w:type="paragraph" w:styleId="ListBullet3">
    <w:name w:val="List Bullet 3"/>
    <w:rsid w:val="00383767"/>
    <w:pPr>
      <w:numPr>
        <w:ilvl w:val="2"/>
        <w:numId w:val="1"/>
      </w:numPr>
      <w:spacing w:before="60"/>
    </w:pPr>
    <w:rPr>
      <w:rFonts w:ascii="Arial" w:hAnsi="Arial"/>
      <w:sz w:val="18"/>
      <w:szCs w:val="22"/>
      <w:lang w:val="en-AU" w:eastAsia="en-US"/>
    </w:rPr>
  </w:style>
  <w:style w:type="paragraph" w:styleId="ListBullet4">
    <w:name w:val="List Bullet 4"/>
    <w:basedOn w:val="Normal"/>
    <w:semiHidden/>
    <w:rsid w:val="00D07B74"/>
    <w:pPr>
      <w:numPr>
        <w:ilvl w:val="3"/>
        <w:numId w:val="1"/>
      </w:numPr>
    </w:pPr>
  </w:style>
  <w:style w:type="paragraph" w:styleId="ListNumber2">
    <w:name w:val="List Number 2"/>
    <w:rsid w:val="00383767"/>
    <w:pPr>
      <w:numPr>
        <w:ilvl w:val="1"/>
        <w:numId w:val="2"/>
      </w:numPr>
      <w:spacing w:before="60"/>
    </w:pPr>
    <w:rPr>
      <w:rFonts w:ascii="Arial" w:hAnsi="Arial"/>
      <w:sz w:val="18"/>
      <w:szCs w:val="22"/>
      <w:lang w:val="en-AU" w:eastAsia="en-US"/>
    </w:rPr>
  </w:style>
  <w:style w:type="paragraph" w:styleId="Title">
    <w:name w:val="Title"/>
    <w:basedOn w:val="Normal"/>
    <w:next w:val="Normal"/>
    <w:link w:val="TitleChar"/>
    <w:qFormat/>
    <w:rsid w:val="00A47644"/>
    <w:pPr>
      <w:ind w:left="340" w:right="169"/>
    </w:pPr>
    <w:rPr>
      <w:rFonts w:cs="Arial"/>
      <w:b/>
      <w:sz w:val="40"/>
      <w:szCs w:val="40"/>
    </w:rPr>
  </w:style>
  <w:style w:type="character" w:customStyle="1" w:styleId="TitleChar">
    <w:name w:val="Title Char"/>
    <w:basedOn w:val="DefaultParagraphFont"/>
    <w:link w:val="Title"/>
    <w:rsid w:val="00A47644"/>
    <w:rPr>
      <w:rFonts w:ascii="Arial" w:hAnsi="Arial" w:cs="Arial"/>
      <w:b/>
      <w:sz w:val="40"/>
      <w:szCs w:val="40"/>
      <w:lang w:eastAsia="en-US"/>
    </w:rPr>
  </w:style>
  <w:style w:type="paragraph" w:styleId="Subtitle">
    <w:name w:val="Subtitle"/>
    <w:basedOn w:val="Normal"/>
    <w:next w:val="Normal"/>
    <w:link w:val="SubtitleChar"/>
    <w:qFormat/>
    <w:rsid w:val="00A47644"/>
    <w:pPr>
      <w:ind w:left="340" w:right="169"/>
    </w:pPr>
    <w:rPr>
      <w:rFonts w:cs="Arial"/>
      <w:b/>
      <w:color w:val="FFFFFF"/>
      <w:sz w:val="30"/>
      <w:szCs w:val="30"/>
    </w:rPr>
  </w:style>
  <w:style w:type="character" w:customStyle="1" w:styleId="SubtitleChar">
    <w:name w:val="Subtitle Char"/>
    <w:basedOn w:val="DefaultParagraphFont"/>
    <w:link w:val="Subtitle"/>
    <w:rsid w:val="00A47644"/>
    <w:rPr>
      <w:rFonts w:ascii="Arial" w:hAnsi="Arial" w:cs="Arial"/>
      <w:b/>
      <w:color w:val="FFFFFF"/>
      <w:sz w:val="30"/>
      <w:szCs w:val="30"/>
      <w:lang w:eastAsia="en-US"/>
    </w:rPr>
  </w:style>
  <w:style w:type="paragraph" w:customStyle="1" w:styleId="SmallText">
    <w:name w:val="Small Text"/>
    <w:rsid w:val="006A0AF0"/>
    <w:pPr>
      <w:spacing w:before="60"/>
      <w:ind w:left="697"/>
    </w:pPr>
    <w:rPr>
      <w:rFonts w:ascii="Arial" w:eastAsia="Calibri" w:hAnsi="Arial" w:cs="Arial"/>
      <w:color w:val="000000"/>
      <w:sz w:val="16"/>
      <w:szCs w:val="16"/>
      <w:lang w:val="en-AU" w:eastAsia="en-US"/>
    </w:rPr>
  </w:style>
  <w:style w:type="paragraph" w:styleId="BodyText">
    <w:name w:val="Body Text"/>
    <w:aliases w:val="MG Text,Alt+B,heading_txt,CV Body Text,bodytxy2,One Page Summary,bt"/>
    <w:link w:val="BodyTextChar"/>
    <w:rsid w:val="00D07B74"/>
    <w:pPr>
      <w:spacing w:before="120"/>
      <w:ind w:left="697" w:right="170"/>
    </w:pPr>
    <w:rPr>
      <w:rFonts w:ascii="Arial" w:hAnsi="Arial"/>
      <w:sz w:val="18"/>
      <w:szCs w:val="22"/>
      <w:lang w:val="en-AU" w:eastAsia="en-US"/>
    </w:rPr>
  </w:style>
  <w:style w:type="paragraph" w:customStyle="1" w:styleId="TableText">
    <w:name w:val="Table Text"/>
    <w:rsid w:val="00977F7F"/>
    <w:rPr>
      <w:rFonts w:ascii="Arial" w:hAnsi="Arial"/>
      <w:sz w:val="18"/>
      <w:szCs w:val="22"/>
      <w:lang w:val="en-AU" w:eastAsia="en-US"/>
    </w:rPr>
  </w:style>
  <w:style w:type="paragraph" w:customStyle="1" w:styleId="TableHeading">
    <w:name w:val="Table Heading"/>
    <w:rsid w:val="00977F7F"/>
    <w:rPr>
      <w:rFonts w:ascii="Arial" w:hAnsi="Arial"/>
      <w:b/>
      <w:color w:val="FFFFFF"/>
      <w:sz w:val="18"/>
      <w:szCs w:val="22"/>
      <w:lang w:val="en-AU" w:eastAsia="en-US"/>
    </w:rPr>
  </w:style>
  <w:style w:type="paragraph" w:styleId="ListNumber3">
    <w:name w:val="List Number 3"/>
    <w:rsid w:val="00383767"/>
    <w:pPr>
      <w:numPr>
        <w:ilvl w:val="2"/>
        <w:numId w:val="2"/>
      </w:numPr>
      <w:spacing w:before="60"/>
    </w:pPr>
    <w:rPr>
      <w:rFonts w:ascii="Arial" w:hAnsi="Arial"/>
      <w:sz w:val="18"/>
      <w:szCs w:val="22"/>
      <w:lang w:val="en-AU" w:eastAsia="en-US"/>
    </w:rPr>
  </w:style>
  <w:style w:type="paragraph" w:customStyle="1" w:styleId="Heading2Numbered">
    <w:name w:val="Heading 2 Numbered"/>
    <w:next w:val="BodyText"/>
    <w:rsid w:val="000B79F1"/>
    <w:pPr>
      <w:numPr>
        <w:ilvl w:val="1"/>
        <w:numId w:val="3"/>
      </w:numPr>
      <w:spacing w:before="240"/>
      <w:ind w:left="1417" w:hanging="720"/>
    </w:pPr>
    <w:rPr>
      <w:rFonts w:ascii="Arial" w:hAnsi="Arial"/>
      <w:b/>
      <w:bCs/>
      <w:color w:val="0096D7"/>
      <w:szCs w:val="22"/>
      <w:lang w:val="en-AU" w:eastAsia="en-US"/>
    </w:rPr>
  </w:style>
  <w:style w:type="paragraph" w:customStyle="1" w:styleId="RFPSmallText">
    <w:name w:val="RFP Small Text"/>
    <w:qFormat/>
    <w:rsid w:val="00B825CD"/>
    <w:pPr>
      <w:spacing w:before="60"/>
      <w:ind w:left="851"/>
    </w:pPr>
    <w:rPr>
      <w:rFonts w:ascii="Arial" w:eastAsia="Calibri" w:hAnsi="Arial" w:cs="Arial"/>
      <w:color w:val="000000"/>
      <w:sz w:val="16"/>
      <w:szCs w:val="16"/>
      <w:lang w:val="en-AU" w:eastAsia="en-US"/>
    </w:rPr>
  </w:style>
  <w:style w:type="paragraph" w:styleId="BalloonText">
    <w:name w:val="Balloon Text"/>
    <w:basedOn w:val="Normal"/>
    <w:link w:val="BalloonTextChar"/>
    <w:rsid w:val="00B825CD"/>
    <w:rPr>
      <w:rFonts w:ascii="Tahoma" w:hAnsi="Tahoma" w:cs="Tahoma"/>
      <w:sz w:val="16"/>
      <w:szCs w:val="16"/>
    </w:rPr>
  </w:style>
  <w:style w:type="character" w:customStyle="1" w:styleId="BalloonTextChar">
    <w:name w:val="Balloon Text Char"/>
    <w:basedOn w:val="DefaultParagraphFont"/>
    <w:link w:val="BalloonText"/>
    <w:rsid w:val="00B825CD"/>
    <w:rPr>
      <w:rFonts w:ascii="Tahoma" w:hAnsi="Tahoma" w:cs="Tahoma"/>
      <w:sz w:val="16"/>
      <w:szCs w:val="16"/>
      <w:lang w:val="en-AU" w:eastAsia="en-US"/>
    </w:rPr>
  </w:style>
  <w:style w:type="character" w:styleId="FootnoteReference">
    <w:name w:val="footnote reference"/>
    <w:rsid w:val="007647F3"/>
    <w:rPr>
      <w:rFonts w:cs="Times New Roman"/>
      <w:vertAlign w:val="superscript"/>
    </w:rPr>
  </w:style>
  <w:style w:type="paragraph" w:customStyle="1" w:styleId="Default">
    <w:name w:val="Default"/>
    <w:rsid w:val="002E1F34"/>
    <w:pPr>
      <w:autoSpaceDE w:val="0"/>
      <w:autoSpaceDN w:val="0"/>
      <w:adjustRightInd w:val="0"/>
    </w:pPr>
    <w:rPr>
      <w:rFonts w:ascii="Arial" w:eastAsiaTheme="minorHAnsi" w:hAnsi="Arial" w:cs="Arial"/>
      <w:color w:val="000000"/>
      <w:sz w:val="24"/>
      <w:szCs w:val="24"/>
      <w:lang w:val="en-AU" w:eastAsia="en-US"/>
    </w:rPr>
  </w:style>
  <w:style w:type="character" w:styleId="CommentReference">
    <w:name w:val="annotation reference"/>
    <w:basedOn w:val="DefaultParagraphFont"/>
    <w:rsid w:val="00390869"/>
    <w:rPr>
      <w:sz w:val="16"/>
      <w:szCs w:val="16"/>
    </w:rPr>
  </w:style>
  <w:style w:type="paragraph" w:styleId="CommentText">
    <w:name w:val="annotation text"/>
    <w:basedOn w:val="Normal"/>
    <w:link w:val="CommentTextChar"/>
    <w:uiPriority w:val="99"/>
    <w:rsid w:val="00390869"/>
    <w:rPr>
      <w:sz w:val="20"/>
      <w:szCs w:val="20"/>
    </w:rPr>
  </w:style>
  <w:style w:type="character" w:customStyle="1" w:styleId="CommentTextChar">
    <w:name w:val="Comment Text Char"/>
    <w:basedOn w:val="DefaultParagraphFont"/>
    <w:link w:val="CommentText"/>
    <w:uiPriority w:val="99"/>
    <w:rsid w:val="00390869"/>
    <w:rPr>
      <w:rFonts w:ascii="Arial" w:hAnsi="Arial"/>
      <w:lang w:val="en-AU" w:eastAsia="en-US"/>
    </w:rPr>
  </w:style>
  <w:style w:type="paragraph" w:styleId="CommentSubject">
    <w:name w:val="annotation subject"/>
    <w:basedOn w:val="CommentText"/>
    <w:next w:val="CommentText"/>
    <w:link w:val="CommentSubjectChar"/>
    <w:rsid w:val="00390869"/>
    <w:rPr>
      <w:b/>
      <w:bCs/>
    </w:rPr>
  </w:style>
  <w:style w:type="character" w:customStyle="1" w:styleId="CommentSubjectChar">
    <w:name w:val="Comment Subject Char"/>
    <w:basedOn w:val="CommentTextChar"/>
    <w:link w:val="CommentSubject"/>
    <w:rsid w:val="00390869"/>
    <w:rPr>
      <w:rFonts w:ascii="Arial" w:hAnsi="Arial"/>
      <w:b/>
      <w:bCs/>
      <w:lang w:val="en-AU" w:eastAsia="en-US"/>
    </w:rPr>
  </w:style>
  <w:style w:type="paragraph" w:customStyle="1" w:styleId="Chart">
    <w:name w:val="Chart"/>
    <w:basedOn w:val="NoSpacing"/>
    <w:qFormat/>
    <w:rsid w:val="0045306C"/>
    <w:rPr>
      <w:rFonts w:eastAsia="PMingLiU"/>
    </w:rPr>
  </w:style>
  <w:style w:type="paragraph" w:styleId="NoSpacing">
    <w:name w:val="No Spacing"/>
    <w:uiPriority w:val="1"/>
    <w:qFormat/>
    <w:rsid w:val="0045306C"/>
    <w:rPr>
      <w:rFonts w:ascii="Arial" w:hAnsi="Arial"/>
      <w:sz w:val="18"/>
      <w:szCs w:val="22"/>
      <w:lang w:val="en-AU" w:eastAsia="en-US"/>
    </w:rPr>
  </w:style>
  <w:style w:type="paragraph" w:styleId="FootnoteText">
    <w:name w:val="footnote text"/>
    <w:basedOn w:val="Normal"/>
    <w:link w:val="FootnoteTextChar"/>
    <w:rsid w:val="00686E43"/>
    <w:rPr>
      <w:sz w:val="20"/>
      <w:szCs w:val="20"/>
    </w:rPr>
  </w:style>
  <w:style w:type="character" w:customStyle="1" w:styleId="FootnoteTextChar">
    <w:name w:val="Footnote Text Char"/>
    <w:basedOn w:val="DefaultParagraphFont"/>
    <w:link w:val="FootnoteText"/>
    <w:rsid w:val="00686E43"/>
    <w:rPr>
      <w:rFonts w:ascii="Arial" w:hAnsi="Arial"/>
      <w:lang w:val="en-AU" w:eastAsia="en-US"/>
    </w:rPr>
  </w:style>
  <w:style w:type="paragraph" w:styleId="ListParagraph">
    <w:name w:val="List Paragraph"/>
    <w:aliases w:val="PRI Bullets,List Paragraph1,Paragraphe de liste"/>
    <w:basedOn w:val="Normal"/>
    <w:link w:val="ListParagraphChar"/>
    <w:uiPriority w:val="34"/>
    <w:qFormat/>
    <w:rsid w:val="005751BC"/>
    <w:pPr>
      <w:ind w:left="720"/>
      <w:contextualSpacing/>
    </w:pPr>
  </w:style>
  <w:style w:type="paragraph" w:styleId="NormalWeb">
    <w:name w:val="Normal (Web)"/>
    <w:basedOn w:val="Normal"/>
    <w:uiPriority w:val="99"/>
    <w:unhideWhenUsed/>
    <w:rsid w:val="00FE7238"/>
    <w:pPr>
      <w:spacing w:before="100" w:beforeAutospacing="1" w:after="100" w:afterAutospacing="1"/>
    </w:pPr>
    <w:rPr>
      <w:rFonts w:ascii="Times New Roman" w:hAnsi="Times New Roman"/>
      <w:sz w:val="24"/>
      <w:szCs w:val="24"/>
      <w:lang w:eastAsia="en-AU"/>
    </w:rPr>
  </w:style>
  <w:style w:type="paragraph" w:customStyle="1" w:styleId="RFPQ">
    <w:name w:val="*RFP Q"/>
    <w:basedOn w:val="Normal"/>
    <w:qFormat/>
    <w:rsid w:val="00327C43"/>
    <w:pPr>
      <w:spacing w:line="280" w:lineRule="atLeast"/>
    </w:pPr>
    <w:rPr>
      <w:rFonts w:ascii="Calibri" w:eastAsia="Calibri" w:hAnsi="Calibri" w:cs="Arial"/>
      <w:b/>
      <w:sz w:val="22"/>
      <w:szCs w:val="20"/>
      <w:lang w:eastAsia="en-AU"/>
    </w:rPr>
  </w:style>
  <w:style w:type="paragraph" w:customStyle="1" w:styleId="Numbered1">
    <w:name w:val="Numbered1"/>
    <w:rsid w:val="00EB1444"/>
    <w:pPr>
      <w:numPr>
        <w:numId w:val="4"/>
      </w:numPr>
    </w:pPr>
    <w:rPr>
      <w:rFonts w:ascii="Arial" w:hAnsi="Arial" w:cs="Arial"/>
      <w:sz w:val="18"/>
      <w:szCs w:val="18"/>
      <w:lang w:eastAsia="en-US"/>
    </w:rPr>
  </w:style>
  <w:style w:type="paragraph" w:customStyle="1" w:styleId="RFPAns">
    <w:name w:val="*RFP Ans"/>
    <w:autoRedefine/>
    <w:qFormat/>
    <w:rsid w:val="00927FFB"/>
    <w:pPr>
      <w:spacing w:after="200" w:line="280" w:lineRule="atLeast"/>
    </w:pPr>
    <w:rPr>
      <w:rFonts w:ascii="Arial" w:hAnsi="Arial" w:cs="Arial"/>
      <w:lang w:val="en-AU" w:eastAsia="en-GB"/>
    </w:rPr>
  </w:style>
  <w:style w:type="paragraph" w:customStyle="1" w:styleId="RFPBullet">
    <w:name w:val="*RFP Bullet"/>
    <w:basedOn w:val="RFPAns"/>
    <w:autoRedefine/>
    <w:qFormat/>
    <w:rsid w:val="00280754"/>
    <w:pPr>
      <w:numPr>
        <w:numId w:val="5"/>
      </w:numPr>
      <w:spacing w:after="0"/>
      <w:ind w:left="426" w:hanging="426"/>
    </w:pPr>
  </w:style>
  <w:style w:type="paragraph" w:customStyle="1" w:styleId="RFPHeader">
    <w:name w:val="*RFP Header"/>
    <w:basedOn w:val="RFPAns"/>
    <w:autoRedefine/>
    <w:qFormat/>
    <w:rsid w:val="00395935"/>
    <w:pPr>
      <w:spacing w:after="0"/>
    </w:pPr>
    <w:rPr>
      <w:b/>
    </w:rPr>
  </w:style>
  <w:style w:type="character" w:customStyle="1" w:styleId="ListParagraphChar">
    <w:name w:val="List Paragraph Char"/>
    <w:aliases w:val="PRI Bullets Char,List Paragraph1 Char,Paragraphe de liste Char"/>
    <w:link w:val="ListParagraph"/>
    <w:uiPriority w:val="34"/>
    <w:locked/>
    <w:rsid w:val="0098385D"/>
    <w:rPr>
      <w:rFonts w:ascii="Arial" w:hAnsi="Arial"/>
      <w:sz w:val="18"/>
      <w:szCs w:val="22"/>
      <w:lang w:val="en-AU" w:eastAsia="en-US"/>
    </w:rPr>
  </w:style>
  <w:style w:type="paragraph" w:customStyle="1" w:styleId="RFPAnswer">
    <w:name w:val="RFP Answer"/>
    <w:link w:val="RFPAnswerChar"/>
    <w:qFormat/>
    <w:rsid w:val="007C3AA2"/>
    <w:pPr>
      <w:spacing w:line="280" w:lineRule="atLeast"/>
      <w:ind w:left="851"/>
    </w:pPr>
    <w:rPr>
      <w:rFonts w:ascii="Arial" w:hAnsi="Arial"/>
      <w:lang w:val="en-GB" w:eastAsia="en-GB"/>
    </w:rPr>
  </w:style>
  <w:style w:type="character" w:customStyle="1" w:styleId="RFPAnswerChar">
    <w:name w:val="RFP Answer Char"/>
    <w:basedOn w:val="DefaultParagraphFont"/>
    <w:link w:val="RFPAnswer"/>
    <w:rsid w:val="007C3AA2"/>
    <w:rPr>
      <w:rFonts w:ascii="Arial" w:hAnsi="Arial"/>
      <w:lang w:val="en-GB" w:eastAsia="en-GB"/>
    </w:rPr>
  </w:style>
  <w:style w:type="character" w:customStyle="1" w:styleId="BodyTextChar">
    <w:name w:val="Body Text Char"/>
    <w:aliases w:val="MG Text Char,Alt+B Char,heading_txt Char,CV Body Text Char,bodytxy2 Char,One Page Summary Char,bt Char"/>
    <w:basedOn w:val="DefaultParagraphFont"/>
    <w:link w:val="BodyText"/>
    <w:rsid w:val="002A7880"/>
    <w:rPr>
      <w:rFonts w:ascii="Arial" w:hAnsi="Arial"/>
      <w:sz w:val="18"/>
      <w:szCs w:val="22"/>
      <w:lang w:val="en-AU" w:eastAsia="en-US"/>
    </w:rPr>
  </w:style>
  <w:style w:type="character" w:customStyle="1" w:styleId="apple-converted-space">
    <w:name w:val="apple-converted-space"/>
    <w:basedOn w:val="DefaultParagraphFont"/>
    <w:rsid w:val="00AF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5807">
      <w:bodyDiv w:val="1"/>
      <w:marLeft w:val="0"/>
      <w:marRight w:val="0"/>
      <w:marTop w:val="0"/>
      <w:marBottom w:val="0"/>
      <w:divBdr>
        <w:top w:val="none" w:sz="0" w:space="0" w:color="auto"/>
        <w:left w:val="none" w:sz="0" w:space="0" w:color="auto"/>
        <w:bottom w:val="none" w:sz="0" w:space="0" w:color="auto"/>
        <w:right w:val="none" w:sz="0" w:space="0" w:color="auto"/>
      </w:divBdr>
    </w:div>
    <w:div w:id="62259903">
      <w:bodyDiv w:val="1"/>
      <w:marLeft w:val="0"/>
      <w:marRight w:val="0"/>
      <w:marTop w:val="0"/>
      <w:marBottom w:val="0"/>
      <w:divBdr>
        <w:top w:val="none" w:sz="0" w:space="0" w:color="auto"/>
        <w:left w:val="none" w:sz="0" w:space="0" w:color="auto"/>
        <w:bottom w:val="none" w:sz="0" w:space="0" w:color="auto"/>
        <w:right w:val="none" w:sz="0" w:space="0" w:color="auto"/>
      </w:divBdr>
    </w:div>
    <w:div w:id="125708633">
      <w:bodyDiv w:val="1"/>
      <w:marLeft w:val="0"/>
      <w:marRight w:val="0"/>
      <w:marTop w:val="0"/>
      <w:marBottom w:val="0"/>
      <w:divBdr>
        <w:top w:val="none" w:sz="0" w:space="0" w:color="auto"/>
        <w:left w:val="none" w:sz="0" w:space="0" w:color="auto"/>
        <w:bottom w:val="none" w:sz="0" w:space="0" w:color="auto"/>
        <w:right w:val="none" w:sz="0" w:space="0" w:color="auto"/>
      </w:divBdr>
    </w:div>
    <w:div w:id="132215186">
      <w:bodyDiv w:val="1"/>
      <w:marLeft w:val="0"/>
      <w:marRight w:val="0"/>
      <w:marTop w:val="0"/>
      <w:marBottom w:val="0"/>
      <w:divBdr>
        <w:top w:val="none" w:sz="0" w:space="0" w:color="auto"/>
        <w:left w:val="none" w:sz="0" w:space="0" w:color="auto"/>
        <w:bottom w:val="none" w:sz="0" w:space="0" w:color="auto"/>
        <w:right w:val="none" w:sz="0" w:space="0" w:color="auto"/>
      </w:divBdr>
    </w:div>
    <w:div w:id="185753364">
      <w:bodyDiv w:val="1"/>
      <w:marLeft w:val="0"/>
      <w:marRight w:val="0"/>
      <w:marTop w:val="0"/>
      <w:marBottom w:val="0"/>
      <w:divBdr>
        <w:top w:val="none" w:sz="0" w:space="0" w:color="auto"/>
        <w:left w:val="none" w:sz="0" w:space="0" w:color="auto"/>
        <w:bottom w:val="none" w:sz="0" w:space="0" w:color="auto"/>
        <w:right w:val="none" w:sz="0" w:space="0" w:color="auto"/>
      </w:divBdr>
    </w:div>
    <w:div w:id="187260246">
      <w:bodyDiv w:val="1"/>
      <w:marLeft w:val="0"/>
      <w:marRight w:val="0"/>
      <w:marTop w:val="0"/>
      <w:marBottom w:val="0"/>
      <w:divBdr>
        <w:top w:val="none" w:sz="0" w:space="0" w:color="auto"/>
        <w:left w:val="none" w:sz="0" w:space="0" w:color="auto"/>
        <w:bottom w:val="none" w:sz="0" w:space="0" w:color="auto"/>
        <w:right w:val="none" w:sz="0" w:space="0" w:color="auto"/>
      </w:divBdr>
    </w:div>
    <w:div w:id="191576218">
      <w:bodyDiv w:val="1"/>
      <w:marLeft w:val="0"/>
      <w:marRight w:val="0"/>
      <w:marTop w:val="0"/>
      <w:marBottom w:val="0"/>
      <w:divBdr>
        <w:top w:val="none" w:sz="0" w:space="0" w:color="auto"/>
        <w:left w:val="none" w:sz="0" w:space="0" w:color="auto"/>
        <w:bottom w:val="none" w:sz="0" w:space="0" w:color="auto"/>
        <w:right w:val="none" w:sz="0" w:space="0" w:color="auto"/>
      </w:divBdr>
    </w:div>
    <w:div w:id="199319711">
      <w:bodyDiv w:val="1"/>
      <w:marLeft w:val="0"/>
      <w:marRight w:val="0"/>
      <w:marTop w:val="0"/>
      <w:marBottom w:val="0"/>
      <w:divBdr>
        <w:top w:val="none" w:sz="0" w:space="0" w:color="auto"/>
        <w:left w:val="none" w:sz="0" w:space="0" w:color="auto"/>
        <w:bottom w:val="none" w:sz="0" w:space="0" w:color="auto"/>
        <w:right w:val="none" w:sz="0" w:space="0" w:color="auto"/>
      </w:divBdr>
    </w:div>
    <w:div w:id="243994874">
      <w:bodyDiv w:val="1"/>
      <w:marLeft w:val="0"/>
      <w:marRight w:val="0"/>
      <w:marTop w:val="0"/>
      <w:marBottom w:val="0"/>
      <w:divBdr>
        <w:top w:val="none" w:sz="0" w:space="0" w:color="auto"/>
        <w:left w:val="none" w:sz="0" w:space="0" w:color="auto"/>
        <w:bottom w:val="none" w:sz="0" w:space="0" w:color="auto"/>
        <w:right w:val="none" w:sz="0" w:space="0" w:color="auto"/>
      </w:divBdr>
    </w:div>
    <w:div w:id="262037783">
      <w:bodyDiv w:val="1"/>
      <w:marLeft w:val="0"/>
      <w:marRight w:val="0"/>
      <w:marTop w:val="0"/>
      <w:marBottom w:val="0"/>
      <w:divBdr>
        <w:top w:val="none" w:sz="0" w:space="0" w:color="auto"/>
        <w:left w:val="none" w:sz="0" w:space="0" w:color="auto"/>
        <w:bottom w:val="none" w:sz="0" w:space="0" w:color="auto"/>
        <w:right w:val="none" w:sz="0" w:space="0" w:color="auto"/>
      </w:divBdr>
    </w:div>
    <w:div w:id="282536104">
      <w:bodyDiv w:val="1"/>
      <w:marLeft w:val="0"/>
      <w:marRight w:val="0"/>
      <w:marTop w:val="0"/>
      <w:marBottom w:val="0"/>
      <w:divBdr>
        <w:top w:val="none" w:sz="0" w:space="0" w:color="auto"/>
        <w:left w:val="none" w:sz="0" w:space="0" w:color="auto"/>
        <w:bottom w:val="none" w:sz="0" w:space="0" w:color="auto"/>
        <w:right w:val="none" w:sz="0" w:space="0" w:color="auto"/>
      </w:divBdr>
    </w:div>
    <w:div w:id="402989782">
      <w:bodyDiv w:val="1"/>
      <w:marLeft w:val="0"/>
      <w:marRight w:val="0"/>
      <w:marTop w:val="0"/>
      <w:marBottom w:val="0"/>
      <w:divBdr>
        <w:top w:val="none" w:sz="0" w:space="0" w:color="auto"/>
        <w:left w:val="none" w:sz="0" w:space="0" w:color="auto"/>
        <w:bottom w:val="none" w:sz="0" w:space="0" w:color="auto"/>
        <w:right w:val="none" w:sz="0" w:space="0" w:color="auto"/>
      </w:divBdr>
    </w:div>
    <w:div w:id="415057293">
      <w:bodyDiv w:val="1"/>
      <w:marLeft w:val="0"/>
      <w:marRight w:val="0"/>
      <w:marTop w:val="0"/>
      <w:marBottom w:val="0"/>
      <w:divBdr>
        <w:top w:val="none" w:sz="0" w:space="0" w:color="auto"/>
        <w:left w:val="none" w:sz="0" w:space="0" w:color="auto"/>
        <w:bottom w:val="none" w:sz="0" w:space="0" w:color="auto"/>
        <w:right w:val="none" w:sz="0" w:space="0" w:color="auto"/>
      </w:divBdr>
    </w:div>
    <w:div w:id="452794940">
      <w:bodyDiv w:val="1"/>
      <w:marLeft w:val="0"/>
      <w:marRight w:val="0"/>
      <w:marTop w:val="0"/>
      <w:marBottom w:val="0"/>
      <w:divBdr>
        <w:top w:val="none" w:sz="0" w:space="0" w:color="auto"/>
        <w:left w:val="none" w:sz="0" w:space="0" w:color="auto"/>
        <w:bottom w:val="none" w:sz="0" w:space="0" w:color="auto"/>
        <w:right w:val="none" w:sz="0" w:space="0" w:color="auto"/>
      </w:divBdr>
    </w:div>
    <w:div w:id="478424143">
      <w:bodyDiv w:val="1"/>
      <w:marLeft w:val="0"/>
      <w:marRight w:val="0"/>
      <w:marTop w:val="0"/>
      <w:marBottom w:val="0"/>
      <w:divBdr>
        <w:top w:val="none" w:sz="0" w:space="0" w:color="auto"/>
        <w:left w:val="none" w:sz="0" w:space="0" w:color="auto"/>
        <w:bottom w:val="none" w:sz="0" w:space="0" w:color="auto"/>
        <w:right w:val="none" w:sz="0" w:space="0" w:color="auto"/>
      </w:divBdr>
    </w:div>
    <w:div w:id="501622558">
      <w:bodyDiv w:val="1"/>
      <w:marLeft w:val="0"/>
      <w:marRight w:val="0"/>
      <w:marTop w:val="0"/>
      <w:marBottom w:val="0"/>
      <w:divBdr>
        <w:top w:val="none" w:sz="0" w:space="0" w:color="auto"/>
        <w:left w:val="none" w:sz="0" w:space="0" w:color="auto"/>
        <w:bottom w:val="none" w:sz="0" w:space="0" w:color="auto"/>
        <w:right w:val="none" w:sz="0" w:space="0" w:color="auto"/>
      </w:divBdr>
    </w:div>
    <w:div w:id="518813884">
      <w:bodyDiv w:val="1"/>
      <w:marLeft w:val="0"/>
      <w:marRight w:val="0"/>
      <w:marTop w:val="0"/>
      <w:marBottom w:val="0"/>
      <w:divBdr>
        <w:top w:val="none" w:sz="0" w:space="0" w:color="auto"/>
        <w:left w:val="none" w:sz="0" w:space="0" w:color="auto"/>
        <w:bottom w:val="none" w:sz="0" w:space="0" w:color="auto"/>
        <w:right w:val="none" w:sz="0" w:space="0" w:color="auto"/>
      </w:divBdr>
      <w:divsChild>
        <w:div w:id="119419288">
          <w:marLeft w:val="0"/>
          <w:marRight w:val="0"/>
          <w:marTop w:val="0"/>
          <w:marBottom w:val="0"/>
          <w:divBdr>
            <w:top w:val="none" w:sz="0" w:space="0" w:color="auto"/>
            <w:left w:val="none" w:sz="0" w:space="0" w:color="auto"/>
            <w:bottom w:val="none" w:sz="0" w:space="0" w:color="auto"/>
            <w:right w:val="none" w:sz="0" w:space="0" w:color="auto"/>
          </w:divBdr>
          <w:divsChild>
            <w:div w:id="561327277">
              <w:marLeft w:val="0"/>
              <w:marRight w:val="0"/>
              <w:marTop w:val="0"/>
              <w:marBottom w:val="0"/>
              <w:divBdr>
                <w:top w:val="none" w:sz="0" w:space="0" w:color="auto"/>
                <w:left w:val="none" w:sz="0" w:space="0" w:color="auto"/>
                <w:bottom w:val="none" w:sz="0" w:space="0" w:color="auto"/>
                <w:right w:val="none" w:sz="0" w:space="0" w:color="auto"/>
              </w:divBdr>
              <w:divsChild>
                <w:div w:id="1218782678">
                  <w:marLeft w:val="0"/>
                  <w:marRight w:val="0"/>
                  <w:marTop w:val="0"/>
                  <w:marBottom w:val="0"/>
                  <w:divBdr>
                    <w:top w:val="none" w:sz="0" w:space="0" w:color="auto"/>
                    <w:left w:val="none" w:sz="0" w:space="0" w:color="auto"/>
                    <w:bottom w:val="none" w:sz="0" w:space="0" w:color="auto"/>
                    <w:right w:val="none" w:sz="0" w:space="0" w:color="auto"/>
                  </w:divBdr>
                  <w:divsChild>
                    <w:div w:id="1928879339">
                      <w:marLeft w:val="0"/>
                      <w:marRight w:val="0"/>
                      <w:marTop w:val="0"/>
                      <w:marBottom w:val="0"/>
                      <w:divBdr>
                        <w:top w:val="none" w:sz="0" w:space="0" w:color="auto"/>
                        <w:left w:val="none" w:sz="0" w:space="0" w:color="auto"/>
                        <w:bottom w:val="none" w:sz="0" w:space="0" w:color="auto"/>
                        <w:right w:val="none" w:sz="0" w:space="0" w:color="auto"/>
                      </w:divBdr>
                      <w:divsChild>
                        <w:div w:id="18949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732462">
      <w:bodyDiv w:val="1"/>
      <w:marLeft w:val="0"/>
      <w:marRight w:val="0"/>
      <w:marTop w:val="0"/>
      <w:marBottom w:val="0"/>
      <w:divBdr>
        <w:top w:val="none" w:sz="0" w:space="0" w:color="auto"/>
        <w:left w:val="none" w:sz="0" w:space="0" w:color="auto"/>
        <w:bottom w:val="none" w:sz="0" w:space="0" w:color="auto"/>
        <w:right w:val="none" w:sz="0" w:space="0" w:color="auto"/>
      </w:divBdr>
    </w:div>
    <w:div w:id="558633340">
      <w:bodyDiv w:val="1"/>
      <w:marLeft w:val="0"/>
      <w:marRight w:val="0"/>
      <w:marTop w:val="0"/>
      <w:marBottom w:val="0"/>
      <w:divBdr>
        <w:top w:val="none" w:sz="0" w:space="0" w:color="auto"/>
        <w:left w:val="none" w:sz="0" w:space="0" w:color="auto"/>
        <w:bottom w:val="none" w:sz="0" w:space="0" w:color="auto"/>
        <w:right w:val="none" w:sz="0" w:space="0" w:color="auto"/>
      </w:divBdr>
    </w:div>
    <w:div w:id="565069939">
      <w:bodyDiv w:val="1"/>
      <w:marLeft w:val="0"/>
      <w:marRight w:val="0"/>
      <w:marTop w:val="0"/>
      <w:marBottom w:val="0"/>
      <w:divBdr>
        <w:top w:val="none" w:sz="0" w:space="0" w:color="auto"/>
        <w:left w:val="none" w:sz="0" w:space="0" w:color="auto"/>
        <w:bottom w:val="none" w:sz="0" w:space="0" w:color="auto"/>
        <w:right w:val="none" w:sz="0" w:space="0" w:color="auto"/>
      </w:divBdr>
    </w:div>
    <w:div w:id="658921002">
      <w:bodyDiv w:val="1"/>
      <w:marLeft w:val="0"/>
      <w:marRight w:val="0"/>
      <w:marTop w:val="0"/>
      <w:marBottom w:val="0"/>
      <w:divBdr>
        <w:top w:val="none" w:sz="0" w:space="0" w:color="auto"/>
        <w:left w:val="none" w:sz="0" w:space="0" w:color="auto"/>
        <w:bottom w:val="none" w:sz="0" w:space="0" w:color="auto"/>
        <w:right w:val="none" w:sz="0" w:space="0" w:color="auto"/>
      </w:divBdr>
    </w:div>
    <w:div w:id="668825679">
      <w:bodyDiv w:val="1"/>
      <w:marLeft w:val="0"/>
      <w:marRight w:val="0"/>
      <w:marTop w:val="0"/>
      <w:marBottom w:val="0"/>
      <w:divBdr>
        <w:top w:val="none" w:sz="0" w:space="0" w:color="auto"/>
        <w:left w:val="none" w:sz="0" w:space="0" w:color="auto"/>
        <w:bottom w:val="none" w:sz="0" w:space="0" w:color="auto"/>
        <w:right w:val="none" w:sz="0" w:space="0" w:color="auto"/>
      </w:divBdr>
    </w:div>
    <w:div w:id="701563842">
      <w:bodyDiv w:val="1"/>
      <w:marLeft w:val="0"/>
      <w:marRight w:val="0"/>
      <w:marTop w:val="0"/>
      <w:marBottom w:val="0"/>
      <w:divBdr>
        <w:top w:val="none" w:sz="0" w:space="0" w:color="auto"/>
        <w:left w:val="none" w:sz="0" w:space="0" w:color="auto"/>
        <w:bottom w:val="none" w:sz="0" w:space="0" w:color="auto"/>
        <w:right w:val="none" w:sz="0" w:space="0" w:color="auto"/>
      </w:divBdr>
    </w:div>
    <w:div w:id="786316974">
      <w:bodyDiv w:val="1"/>
      <w:marLeft w:val="0"/>
      <w:marRight w:val="0"/>
      <w:marTop w:val="0"/>
      <w:marBottom w:val="0"/>
      <w:divBdr>
        <w:top w:val="none" w:sz="0" w:space="0" w:color="auto"/>
        <w:left w:val="none" w:sz="0" w:space="0" w:color="auto"/>
        <w:bottom w:val="none" w:sz="0" w:space="0" w:color="auto"/>
        <w:right w:val="none" w:sz="0" w:space="0" w:color="auto"/>
      </w:divBdr>
    </w:div>
    <w:div w:id="795098048">
      <w:bodyDiv w:val="1"/>
      <w:marLeft w:val="0"/>
      <w:marRight w:val="0"/>
      <w:marTop w:val="0"/>
      <w:marBottom w:val="0"/>
      <w:divBdr>
        <w:top w:val="none" w:sz="0" w:space="0" w:color="auto"/>
        <w:left w:val="none" w:sz="0" w:space="0" w:color="auto"/>
        <w:bottom w:val="none" w:sz="0" w:space="0" w:color="auto"/>
        <w:right w:val="none" w:sz="0" w:space="0" w:color="auto"/>
      </w:divBdr>
    </w:div>
    <w:div w:id="802620058">
      <w:bodyDiv w:val="1"/>
      <w:marLeft w:val="0"/>
      <w:marRight w:val="0"/>
      <w:marTop w:val="0"/>
      <w:marBottom w:val="0"/>
      <w:divBdr>
        <w:top w:val="none" w:sz="0" w:space="0" w:color="auto"/>
        <w:left w:val="none" w:sz="0" w:space="0" w:color="auto"/>
        <w:bottom w:val="none" w:sz="0" w:space="0" w:color="auto"/>
        <w:right w:val="none" w:sz="0" w:space="0" w:color="auto"/>
      </w:divBdr>
    </w:div>
    <w:div w:id="870340096">
      <w:bodyDiv w:val="1"/>
      <w:marLeft w:val="0"/>
      <w:marRight w:val="0"/>
      <w:marTop w:val="0"/>
      <w:marBottom w:val="0"/>
      <w:divBdr>
        <w:top w:val="none" w:sz="0" w:space="0" w:color="auto"/>
        <w:left w:val="none" w:sz="0" w:space="0" w:color="auto"/>
        <w:bottom w:val="none" w:sz="0" w:space="0" w:color="auto"/>
        <w:right w:val="none" w:sz="0" w:space="0" w:color="auto"/>
      </w:divBdr>
    </w:div>
    <w:div w:id="886989788">
      <w:bodyDiv w:val="1"/>
      <w:marLeft w:val="0"/>
      <w:marRight w:val="0"/>
      <w:marTop w:val="0"/>
      <w:marBottom w:val="0"/>
      <w:divBdr>
        <w:top w:val="none" w:sz="0" w:space="0" w:color="auto"/>
        <w:left w:val="none" w:sz="0" w:space="0" w:color="auto"/>
        <w:bottom w:val="none" w:sz="0" w:space="0" w:color="auto"/>
        <w:right w:val="none" w:sz="0" w:space="0" w:color="auto"/>
      </w:divBdr>
    </w:div>
    <w:div w:id="926501500">
      <w:bodyDiv w:val="1"/>
      <w:marLeft w:val="0"/>
      <w:marRight w:val="0"/>
      <w:marTop w:val="0"/>
      <w:marBottom w:val="0"/>
      <w:divBdr>
        <w:top w:val="none" w:sz="0" w:space="0" w:color="auto"/>
        <w:left w:val="none" w:sz="0" w:space="0" w:color="auto"/>
        <w:bottom w:val="none" w:sz="0" w:space="0" w:color="auto"/>
        <w:right w:val="none" w:sz="0" w:space="0" w:color="auto"/>
      </w:divBdr>
    </w:div>
    <w:div w:id="980768311">
      <w:bodyDiv w:val="1"/>
      <w:marLeft w:val="0"/>
      <w:marRight w:val="0"/>
      <w:marTop w:val="0"/>
      <w:marBottom w:val="0"/>
      <w:divBdr>
        <w:top w:val="none" w:sz="0" w:space="0" w:color="auto"/>
        <w:left w:val="none" w:sz="0" w:space="0" w:color="auto"/>
        <w:bottom w:val="none" w:sz="0" w:space="0" w:color="auto"/>
        <w:right w:val="none" w:sz="0" w:space="0" w:color="auto"/>
      </w:divBdr>
    </w:div>
    <w:div w:id="985626163">
      <w:bodyDiv w:val="1"/>
      <w:marLeft w:val="0"/>
      <w:marRight w:val="0"/>
      <w:marTop w:val="0"/>
      <w:marBottom w:val="0"/>
      <w:divBdr>
        <w:top w:val="none" w:sz="0" w:space="0" w:color="auto"/>
        <w:left w:val="none" w:sz="0" w:space="0" w:color="auto"/>
        <w:bottom w:val="none" w:sz="0" w:space="0" w:color="auto"/>
        <w:right w:val="none" w:sz="0" w:space="0" w:color="auto"/>
      </w:divBdr>
    </w:div>
    <w:div w:id="1004431849">
      <w:bodyDiv w:val="1"/>
      <w:marLeft w:val="0"/>
      <w:marRight w:val="0"/>
      <w:marTop w:val="0"/>
      <w:marBottom w:val="0"/>
      <w:divBdr>
        <w:top w:val="none" w:sz="0" w:space="0" w:color="auto"/>
        <w:left w:val="none" w:sz="0" w:space="0" w:color="auto"/>
        <w:bottom w:val="none" w:sz="0" w:space="0" w:color="auto"/>
        <w:right w:val="none" w:sz="0" w:space="0" w:color="auto"/>
      </w:divBdr>
    </w:div>
    <w:div w:id="1021125487">
      <w:bodyDiv w:val="1"/>
      <w:marLeft w:val="0"/>
      <w:marRight w:val="0"/>
      <w:marTop w:val="0"/>
      <w:marBottom w:val="0"/>
      <w:divBdr>
        <w:top w:val="none" w:sz="0" w:space="0" w:color="auto"/>
        <w:left w:val="none" w:sz="0" w:space="0" w:color="auto"/>
        <w:bottom w:val="none" w:sz="0" w:space="0" w:color="auto"/>
        <w:right w:val="none" w:sz="0" w:space="0" w:color="auto"/>
      </w:divBdr>
    </w:div>
    <w:div w:id="1024943790">
      <w:bodyDiv w:val="1"/>
      <w:marLeft w:val="0"/>
      <w:marRight w:val="0"/>
      <w:marTop w:val="0"/>
      <w:marBottom w:val="0"/>
      <w:divBdr>
        <w:top w:val="none" w:sz="0" w:space="0" w:color="auto"/>
        <w:left w:val="none" w:sz="0" w:space="0" w:color="auto"/>
        <w:bottom w:val="none" w:sz="0" w:space="0" w:color="auto"/>
        <w:right w:val="none" w:sz="0" w:space="0" w:color="auto"/>
      </w:divBdr>
    </w:div>
    <w:div w:id="1050542596">
      <w:bodyDiv w:val="1"/>
      <w:marLeft w:val="0"/>
      <w:marRight w:val="0"/>
      <w:marTop w:val="0"/>
      <w:marBottom w:val="0"/>
      <w:divBdr>
        <w:top w:val="none" w:sz="0" w:space="0" w:color="auto"/>
        <w:left w:val="none" w:sz="0" w:space="0" w:color="auto"/>
        <w:bottom w:val="none" w:sz="0" w:space="0" w:color="auto"/>
        <w:right w:val="none" w:sz="0" w:space="0" w:color="auto"/>
      </w:divBdr>
    </w:div>
    <w:div w:id="1070006910">
      <w:bodyDiv w:val="1"/>
      <w:marLeft w:val="0"/>
      <w:marRight w:val="0"/>
      <w:marTop w:val="0"/>
      <w:marBottom w:val="0"/>
      <w:divBdr>
        <w:top w:val="none" w:sz="0" w:space="0" w:color="auto"/>
        <w:left w:val="none" w:sz="0" w:space="0" w:color="auto"/>
        <w:bottom w:val="none" w:sz="0" w:space="0" w:color="auto"/>
        <w:right w:val="none" w:sz="0" w:space="0" w:color="auto"/>
      </w:divBdr>
    </w:div>
    <w:div w:id="1120303078">
      <w:bodyDiv w:val="1"/>
      <w:marLeft w:val="0"/>
      <w:marRight w:val="0"/>
      <w:marTop w:val="0"/>
      <w:marBottom w:val="0"/>
      <w:divBdr>
        <w:top w:val="none" w:sz="0" w:space="0" w:color="auto"/>
        <w:left w:val="none" w:sz="0" w:space="0" w:color="auto"/>
        <w:bottom w:val="none" w:sz="0" w:space="0" w:color="auto"/>
        <w:right w:val="none" w:sz="0" w:space="0" w:color="auto"/>
      </w:divBdr>
    </w:div>
    <w:div w:id="1208299992">
      <w:bodyDiv w:val="1"/>
      <w:marLeft w:val="0"/>
      <w:marRight w:val="0"/>
      <w:marTop w:val="0"/>
      <w:marBottom w:val="0"/>
      <w:divBdr>
        <w:top w:val="none" w:sz="0" w:space="0" w:color="auto"/>
        <w:left w:val="none" w:sz="0" w:space="0" w:color="auto"/>
        <w:bottom w:val="none" w:sz="0" w:space="0" w:color="auto"/>
        <w:right w:val="none" w:sz="0" w:space="0" w:color="auto"/>
      </w:divBdr>
    </w:div>
    <w:div w:id="1251307122">
      <w:bodyDiv w:val="1"/>
      <w:marLeft w:val="0"/>
      <w:marRight w:val="0"/>
      <w:marTop w:val="0"/>
      <w:marBottom w:val="0"/>
      <w:divBdr>
        <w:top w:val="none" w:sz="0" w:space="0" w:color="auto"/>
        <w:left w:val="none" w:sz="0" w:space="0" w:color="auto"/>
        <w:bottom w:val="none" w:sz="0" w:space="0" w:color="auto"/>
        <w:right w:val="none" w:sz="0" w:space="0" w:color="auto"/>
      </w:divBdr>
    </w:div>
    <w:div w:id="1275403947">
      <w:bodyDiv w:val="1"/>
      <w:marLeft w:val="0"/>
      <w:marRight w:val="0"/>
      <w:marTop w:val="0"/>
      <w:marBottom w:val="0"/>
      <w:divBdr>
        <w:top w:val="none" w:sz="0" w:space="0" w:color="auto"/>
        <w:left w:val="none" w:sz="0" w:space="0" w:color="auto"/>
        <w:bottom w:val="none" w:sz="0" w:space="0" w:color="auto"/>
        <w:right w:val="none" w:sz="0" w:space="0" w:color="auto"/>
      </w:divBdr>
    </w:div>
    <w:div w:id="1279489651">
      <w:bodyDiv w:val="1"/>
      <w:marLeft w:val="0"/>
      <w:marRight w:val="0"/>
      <w:marTop w:val="0"/>
      <w:marBottom w:val="0"/>
      <w:divBdr>
        <w:top w:val="none" w:sz="0" w:space="0" w:color="auto"/>
        <w:left w:val="none" w:sz="0" w:space="0" w:color="auto"/>
        <w:bottom w:val="none" w:sz="0" w:space="0" w:color="auto"/>
        <w:right w:val="none" w:sz="0" w:space="0" w:color="auto"/>
      </w:divBdr>
    </w:div>
    <w:div w:id="1308511044">
      <w:bodyDiv w:val="1"/>
      <w:marLeft w:val="0"/>
      <w:marRight w:val="0"/>
      <w:marTop w:val="0"/>
      <w:marBottom w:val="0"/>
      <w:divBdr>
        <w:top w:val="none" w:sz="0" w:space="0" w:color="auto"/>
        <w:left w:val="none" w:sz="0" w:space="0" w:color="auto"/>
        <w:bottom w:val="none" w:sz="0" w:space="0" w:color="auto"/>
        <w:right w:val="none" w:sz="0" w:space="0" w:color="auto"/>
      </w:divBdr>
    </w:div>
    <w:div w:id="1326084067">
      <w:bodyDiv w:val="1"/>
      <w:marLeft w:val="0"/>
      <w:marRight w:val="0"/>
      <w:marTop w:val="0"/>
      <w:marBottom w:val="0"/>
      <w:divBdr>
        <w:top w:val="none" w:sz="0" w:space="0" w:color="auto"/>
        <w:left w:val="none" w:sz="0" w:space="0" w:color="auto"/>
        <w:bottom w:val="none" w:sz="0" w:space="0" w:color="auto"/>
        <w:right w:val="none" w:sz="0" w:space="0" w:color="auto"/>
      </w:divBdr>
    </w:div>
    <w:div w:id="1367832442">
      <w:bodyDiv w:val="1"/>
      <w:marLeft w:val="0"/>
      <w:marRight w:val="0"/>
      <w:marTop w:val="0"/>
      <w:marBottom w:val="0"/>
      <w:divBdr>
        <w:top w:val="none" w:sz="0" w:space="0" w:color="auto"/>
        <w:left w:val="none" w:sz="0" w:space="0" w:color="auto"/>
        <w:bottom w:val="none" w:sz="0" w:space="0" w:color="auto"/>
        <w:right w:val="none" w:sz="0" w:space="0" w:color="auto"/>
      </w:divBdr>
    </w:div>
    <w:div w:id="1470391398">
      <w:bodyDiv w:val="1"/>
      <w:marLeft w:val="0"/>
      <w:marRight w:val="0"/>
      <w:marTop w:val="0"/>
      <w:marBottom w:val="0"/>
      <w:divBdr>
        <w:top w:val="none" w:sz="0" w:space="0" w:color="auto"/>
        <w:left w:val="none" w:sz="0" w:space="0" w:color="auto"/>
        <w:bottom w:val="none" w:sz="0" w:space="0" w:color="auto"/>
        <w:right w:val="none" w:sz="0" w:space="0" w:color="auto"/>
      </w:divBdr>
    </w:div>
    <w:div w:id="1546405253">
      <w:bodyDiv w:val="1"/>
      <w:marLeft w:val="0"/>
      <w:marRight w:val="0"/>
      <w:marTop w:val="0"/>
      <w:marBottom w:val="0"/>
      <w:divBdr>
        <w:top w:val="none" w:sz="0" w:space="0" w:color="auto"/>
        <w:left w:val="none" w:sz="0" w:space="0" w:color="auto"/>
        <w:bottom w:val="none" w:sz="0" w:space="0" w:color="auto"/>
        <w:right w:val="none" w:sz="0" w:space="0" w:color="auto"/>
      </w:divBdr>
    </w:div>
    <w:div w:id="1555042110">
      <w:bodyDiv w:val="1"/>
      <w:marLeft w:val="0"/>
      <w:marRight w:val="0"/>
      <w:marTop w:val="0"/>
      <w:marBottom w:val="0"/>
      <w:divBdr>
        <w:top w:val="none" w:sz="0" w:space="0" w:color="auto"/>
        <w:left w:val="none" w:sz="0" w:space="0" w:color="auto"/>
        <w:bottom w:val="none" w:sz="0" w:space="0" w:color="auto"/>
        <w:right w:val="none" w:sz="0" w:space="0" w:color="auto"/>
      </w:divBdr>
    </w:div>
    <w:div w:id="1559317910">
      <w:bodyDiv w:val="1"/>
      <w:marLeft w:val="0"/>
      <w:marRight w:val="0"/>
      <w:marTop w:val="0"/>
      <w:marBottom w:val="0"/>
      <w:divBdr>
        <w:top w:val="none" w:sz="0" w:space="0" w:color="auto"/>
        <w:left w:val="none" w:sz="0" w:space="0" w:color="auto"/>
        <w:bottom w:val="none" w:sz="0" w:space="0" w:color="auto"/>
        <w:right w:val="none" w:sz="0" w:space="0" w:color="auto"/>
      </w:divBdr>
    </w:div>
    <w:div w:id="1560744978">
      <w:bodyDiv w:val="1"/>
      <w:marLeft w:val="0"/>
      <w:marRight w:val="0"/>
      <w:marTop w:val="0"/>
      <w:marBottom w:val="0"/>
      <w:divBdr>
        <w:top w:val="none" w:sz="0" w:space="0" w:color="auto"/>
        <w:left w:val="none" w:sz="0" w:space="0" w:color="auto"/>
        <w:bottom w:val="none" w:sz="0" w:space="0" w:color="auto"/>
        <w:right w:val="none" w:sz="0" w:space="0" w:color="auto"/>
      </w:divBdr>
    </w:div>
    <w:div w:id="1606961411">
      <w:bodyDiv w:val="1"/>
      <w:marLeft w:val="0"/>
      <w:marRight w:val="0"/>
      <w:marTop w:val="0"/>
      <w:marBottom w:val="0"/>
      <w:divBdr>
        <w:top w:val="none" w:sz="0" w:space="0" w:color="auto"/>
        <w:left w:val="none" w:sz="0" w:space="0" w:color="auto"/>
        <w:bottom w:val="none" w:sz="0" w:space="0" w:color="auto"/>
        <w:right w:val="none" w:sz="0" w:space="0" w:color="auto"/>
      </w:divBdr>
      <w:divsChild>
        <w:div w:id="1224637687">
          <w:marLeft w:val="446"/>
          <w:marRight w:val="0"/>
          <w:marTop w:val="156"/>
          <w:marBottom w:val="0"/>
          <w:divBdr>
            <w:top w:val="none" w:sz="0" w:space="0" w:color="auto"/>
            <w:left w:val="none" w:sz="0" w:space="0" w:color="auto"/>
            <w:bottom w:val="none" w:sz="0" w:space="0" w:color="auto"/>
            <w:right w:val="none" w:sz="0" w:space="0" w:color="auto"/>
          </w:divBdr>
        </w:div>
        <w:div w:id="1419016862">
          <w:marLeft w:val="446"/>
          <w:marRight w:val="0"/>
          <w:marTop w:val="156"/>
          <w:marBottom w:val="0"/>
          <w:divBdr>
            <w:top w:val="none" w:sz="0" w:space="0" w:color="auto"/>
            <w:left w:val="none" w:sz="0" w:space="0" w:color="auto"/>
            <w:bottom w:val="none" w:sz="0" w:space="0" w:color="auto"/>
            <w:right w:val="none" w:sz="0" w:space="0" w:color="auto"/>
          </w:divBdr>
        </w:div>
        <w:div w:id="1885756123">
          <w:marLeft w:val="446"/>
          <w:marRight w:val="0"/>
          <w:marTop w:val="156"/>
          <w:marBottom w:val="0"/>
          <w:divBdr>
            <w:top w:val="none" w:sz="0" w:space="0" w:color="auto"/>
            <w:left w:val="none" w:sz="0" w:space="0" w:color="auto"/>
            <w:bottom w:val="none" w:sz="0" w:space="0" w:color="auto"/>
            <w:right w:val="none" w:sz="0" w:space="0" w:color="auto"/>
          </w:divBdr>
        </w:div>
        <w:div w:id="1589997370">
          <w:marLeft w:val="446"/>
          <w:marRight w:val="0"/>
          <w:marTop w:val="156"/>
          <w:marBottom w:val="0"/>
          <w:divBdr>
            <w:top w:val="none" w:sz="0" w:space="0" w:color="auto"/>
            <w:left w:val="none" w:sz="0" w:space="0" w:color="auto"/>
            <w:bottom w:val="none" w:sz="0" w:space="0" w:color="auto"/>
            <w:right w:val="none" w:sz="0" w:space="0" w:color="auto"/>
          </w:divBdr>
        </w:div>
        <w:div w:id="1054699779">
          <w:marLeft w:val="446"/>
          <w:marRight w:val="0"/>
          <w:marTop w:val="156"/>
          <w:marBottom w:val="0"/>
          <w:divBdr>
            <w:top w:val="none" w:sz="0" w:space="0" w:color="auto"/>
            <w:left w:val="none" w:sz="0" w:space="0" w:color="auto"/>
            <w:bottom w:val="none" w:sz="0" w:space="0" w:color="auto"/>
            <w:right w:val="none" w:sz="0" w:space="0" w:color="auto"/>
          </w:divBdr>
        </w:div>
        <w:div w:id="1016885629">
          <w:marLeft w:val="446"/>
          <w:marRight w:val="0"/>
          <w:marTop w:val="156"/>
          <w:marBottom w:val="0"/>
          <w:divBdr>
            <w:top w:val="none" w:sz="0" w:space="0" w:color="auto"/>
            <w:left w:val="none" w:sz="0" w:space="0" w:color="auto"/>
            <w:bottom w:val="none" w:sz="0" w:space="0" w:color="auto"/>
            <w:right w:val="none" w:sz="0" w:space="0" w:color="auto"/>
          </w:divBdr>
        </w:div>
      </w:divsChild>
    </w:div>
    <w:div w:id="1671172930">
      <w:bodyDiv w:val="1"/>
      <w:marLeft w:val="0"/>
      <w:marRight w:val="0"/>
      <w:marTop w:val="0"/>
      <w:marBottom w:val="0"/>
      <w:divBdr>
        <w:top w:val="none" w:sz="0" w:space="0" w:color="auto"/>
        <w:left w:val="none" w:sz="0" w:space="0" w:color="auto"/>
        <w:bottom w:val="none" w:sz="0" w:space="0" w:color="auto"/>
        <w:right w:val="none" w:sz="0" w:space="0" w:color="auto"/>
      </w:divBdr>
    </w:div>
    <w:div w:id="1680235488">
      <w:bodyDiv w:val="1"/>
      <w:marLeft w:val="0"/>
      <w:marRight w:val="0"/>
      <w:marTop w:val="0"/>
      <w:marBottom w:val="0"/>
      <w:divBdr>
        <w:top w:val="none" w:sz="0" w:space="0" w:color="auto"/>
        <w:left w:val="none" w:sz="0" w:space="0" w:color="auto"/>
        <w:bottom w:val="none" w:sz="0" w:space="0" w:color="auto"/>
        <w:right w:val="none" w:sz="0" w:space="0" w:color="auto"/>
      </w:divBdr>
    </w:div>
    <w:div w:id="1689788437">
      <w:bodyDiv w:val="1"/>
      <w:marLeft w:val="0"/>
      <w:marRight w:val="0"/>
      <w:marTop w:val="0"/>
      <w:marBottom w:val="0"/>
      <w:divBdr>
        <w:top w:val="none" w:sz="0" w:space="0" w:color="auto"/>
        <w:left w:val="none" w:sz="0" w:space="0" w:color="auto"/>
        <w:bottom w:val="none" w:sz="0" w:space="0" w:color="auto"/>
        <w:right w:val="none" w:sz="0" w:space="0" w:color="auto"/>
      </w:divBdr>
    </w:div>
    <w:div w:id="1725250308">
      <w:bodyDiv w:val="1"/>
      <w:marLeft w:val="0"/>
      <w:marRight w:val="0"/>
      <w:marTop w:val="0"/>
      <w:marBottom w:val="0"/>
      <w:divBdr>
        <w:top w:val="none" w:sz="0" w:space="0" w:color="auto"/>
        <w:left w:val="none" w:sz="0" w:space="0" w:color="auto"/>
        <w:bottom w:val="none" w:sz="0" w:space="0" w:color="auto"/>
        <w:right w:val="none" w:sz="0" w:space="0" w:color="auto"/>
      </w:divBdr>
    </w:div>
    <w:div w:id="1781102400">
      <w:bodyDiv w:val="1"/>
      <w:marLeft w:val="0"/>
      <w:marRight w:val="0"/>
      <w:marTop w:val="0"/>
      <w:marBottom w:val="0"/>
      <w:divBdr>
        <w:top w:val="none" w:sz="0" w:space="0" w:color="auto"/>
        <w:left w:val="none" w:sz="0" w:space="0" w:color="auto"/>
        <w:bottom w:val="none" w:sz="0" w:space="0" w:color="auto"/>
        <w:right w:val="none" w:sz="0" w:space="0" w:color="auto"/>
      </w:divBdr>
    </w:div>
    <w:div w:id="1794251589">
      <w:bodyDiv w:val="1"/>
      <w:marLeft w:val="0"/>
      <w:marRight w:val="0"/>
      <w:marTop w:val="0"/>
      <w:marBottom w:val="0"/>
      <w:divBdr>
        <w:top w:val="none" w:sz="0" w:space="0" w:color="auto"/>
        <w:left w:val="none" w:sz="0" w:space="0" w:color="auto"/>
        <w:bottom w:val="none" w:sz="0" w:space="0" w:color="auto"/>
        <w:right w:val="none" w:sz="0" w:space="0" w:color="auto"/>
      </w:divBdr>
    </w:div>
    <w:div w:id="1801455597">
      <w:bodyDiv w:val="1"/>
      <w:marLeft w:val="0"/>
      <w:marRight w:val="0"/>
      <w:marTop w:val="0"/>
      <w:marBottom w:val="0"/>
      <w:divBdr>
        <w:top w:val="none" w:sz="0" w:space="0" w:color="auto"/>
        <w:left w:val="none" w:sz="0" w:space="0" w:color="auto"/>
        <w:bottom w:val="none" w:sz="0" w:space="0" w:color="auto"/>
        <w:right w:val="none" w:sz="0" w:space="0" w:color="auto"/>
      </w:divBdr>
    </w:div>
    <w:div w:id="1915552216">
      <w:bodyDiv w:val="1"/>
      <w:marLeft w:val="0"/>
      <w:marRight w:val="0"/>
      <w:marTop w:val="0"/>
      <w:marBottom w:val="0"/>
      <w:divBdr>
        <w:top w:val="none" w:sz="0" w:space="0" w:color="auto"/>
        <w:left w:val="none" w:sz="0" w:space="0" w:color="auto"/>
        <w:bottom w:val="none" w:sz="0" w:space="0" w:color="auto"/>
        <w:right w:val="none" w:sz="0" w:space="0" w:color="auto"/>
      </w:divBdr>
    </w:div>
    <w:div w:id="1969123173">
      <w:bodyDiv w:val="1"/>
      <w:marLeft w:val="0"/>
      <w:marRight w:val="0"/>
      <w:marTop w:val="0"/>
      <w:marBottom w:val="0"/>
      <w:divBdr>
        <w:top w:val="none" w:sz="0" w:space="0" w:color="auto"/>
        <w:left w:val="none" w:sz="0" w:space="0" w:color="auto"/>
        <w:bottom w:val="none" w:sz="0" w:space="0" w:color="auto"/>
        <w:right w:val="none" w:sz="0" w:space="0" w:color="auto"/>
      </w:divBdr>
    </w:div>
    <w:div w:id="1983734676">
      <w:bodyDiv w:val="1"/>
      <w:marLeft w:val="0"/>
      <w:marRight w:val="0"/>
      <w:marTop w:val="0"/>
      <w:marBottom w:val="0"/>
      <w:divBdr>
        <w:top w:val="none" w:sz="0" w:space="0" w:color="auto"/>
        <w:left w:val="none" w:sz="0" w:space="0" w:color="auto"/>
        <w:bottom w:val="none" w:sz="0" w:space="0" w:color="auto"/>
        <w:right w:val="none" w:sz="0" w:space="0" w:color="auto"/>
      </w:divBdr>
    </w:div>
    <w:div w:id="1988707156">
      <w:bodyDiv w:val="1"/>
      <w:marLeft w:val="0"/>
      <w:marRight w:val="0"/>
      <w:marTop w:val="0"/>
      <w:marBottom w:val="0"/>
      <w:divBdr>
        <w:top w:val="none" w:sz="0" w:space="0" w:color="auto"/>
        <w:left w:val="none" w:sz="0" w:space="0" w:color="auto"/>
        <w:bottom w:val="none" w:sz="0" w:space="0" w:color="auto"/>
        <w:right w:val="none" w:sz="0" w:space="0" w:color="auto"/>
      </w:divBdr>
    </w:div>
    <w:div w:id="1999570739">
      <w:bodyDiv w:val="1"/>
      <w:marLeft w:val="0"/>
      <w:marRight w:val="0"/>
      <w:marTop w:val="0"/>
      <w:marBottom w:val="0"/>
      <w:divBdr>
        <w:top w:val="none" w:sz="0" w:space="0" w:color="auto"/>
        <w:left w:val="none" w:sz="0" w:space="0" w:color="auto"/>
        <w:bottom w:val="none" w:sz="0" w:space="0" w:color="auto"/>
        <w:right w:val="none" w:sz="0" w:space="0" w:color="auto"/>
      </w:divBdr>
    </w:div>
    <w:div w:id="2026206415">
      <w:bodyDiv w:val="1"/>
      <w:marLeft w:val="0"/>
      <w:marRight w:val="0"/>
      <w:marTop w:val="0"/>
      <w:marBottom w:val="0"/>
      <w:divBdr>
        <w:top w:val="none" w:sz="0" w:space="0" w:color="auto"/>
        <w:left w:val="none" w:sz="0" w:space="0" w:color="auto"/>
        <w:bottom w:val="none" w:sz="0" w:space="0" w:color="auto"/>
        <w:right w:val="none" w:sz="0" w:space="0" w:color="auto"/>
      </w:divBdr>
    </w:div>
    <w:div w:id="2059159793">
      <w:bodyDiv w:val="1"/>
      <w:marLeft w:val="0"/>
      <w:marRight w:val="0"/>
      <w:marTop w:val="0"/>
      <w:marBottom w:val="0"/>
      <w:divBdr>
        <w:top w:val="none" w:sz="0" w:space="0" w:color="auto"/>
        <w:left w:val="none" w:sz="0" w:space="0" w:color="auto"/>
        <w:bottom w:val="none" w:sz="0" w:space="0" w:color="auto"/>
        <w:right w:val="none" w:sz="0" w:space="0" w:color="auto"/>
      </w:divBdr>
    </w:div>
    <w:div w:id="2112553408">
      <w:bodyDiv w:val="1"/>
      <w:marLeft w:val="0"/>
      <w:marRight w:val="0"/>
      <w:marTop w:val="0"/>
      <w:marBottom w:val="0"/>
      <w:divBdr>
        <w:top w:val="none" w:sz="0" w:space="0" w:color="auto"/>
        <w:left w:val="none" w:sz="0" w:space="0" w:color="auto"/>
        <w:bottom w:val="none" w:sz="0" w:space="0" w:color="auto"/>
        <w:right w:val="none" w:sz="0" w:space="0" w:color="auto"/>
      </w:divBdr>
    </w:div>
    <w:div w:id="213498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yF\Local%20Settings\Temporary%20Internet%20Files\Content.Outlook\H9MEXSRQ\RFP_blank%20FSI%20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ADC4-85E7-45EB-8671-BD8D8A0F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RFP_blank FSI Word2003.dot</Template>
  <TotalTime>131</TotalTime>
  <Pages>11</Pages>
  <Words>3076</Words>
  <Characters>16501</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Commonwealth Bank of Australia</Company>
  <LinksUpToDate>false</LinksUpToDate>
  <CharactersWithSpaces>19538</CharactersWithSpaces>
  <SharedDoc>false</SharedDoc>
  <HLinks>
    <vt:vector size="36" baseType="variant">
      <vt:variant>
        <vt:i4>2162766</vt:i4>
      </vt:variant>
      <vt:variant>
        <vt:i4>33</vt:i4>
      </vt:variant>
      <vt:variant>
        <vt:i4>0</vt:i4>
      </vt:variant>
      <vt:variant>
        <vt:i4>5</vt:i4>
      </vt:variant>
      <vt:variant>
        <vt:lpwstr>mailto:cfsinstitutional@colonialfirststate.com.au</vt:lpwstr>
      </vt:variant>
      <vt:variant>
        <vt:lpwstr/>
      </vt:variant>
      <vt:variant>
        <vt:i4>1245239</vt:i4>
      </vt:variant>
      <vt:variant>
        <vt:i4>26</vt:i4>
      </vt:variant>
      <vt:variant>
        <vt:i4>0</vt:i4>
      </vt:variant>
      <vt:variant>
        <vt:i4>5</vt:i4>
      </vt:variant>
      <vt:variant>
        <vt:lpwstr/>
      </vt:variant>
      <vt:variant>
        <vt:lpwstr>_Toc245631378</vt:lpwstr>
      </vt:variant>
      <vt:variant>
        <vt:i4>1245239</vt:i4>
      </vt:variant>
      <vt:variant>
        <vt:i4>20</vt:i4>
      </vt:variant>
      <vt:variant>
        <vt:i4>0</vt:i4>
      </vt:variant>
      <vt:variant>
        <vt:i4>5</vt:i4>
      </vt:variant>
      <vt:variant>
        <vt:lpwstr/>
      </vt:variant>
      <vt:variant>
        <vt:lpwstr>_Toc245631377</vt:lpwstr>
      </vt:variant>
      <vt:variant>
        <vt:i4>1245239</vt:i4>
      </vt:variant>
      <vt:variant>
        <vt:i4>14</vt:i4>
      </vt:variant>
      <vt:variant>
        <vt:i4>0</vt:i4>
      </vt:variant>
      <vt:variant>
        <vt:i4>5</vt:i4>
      </vt:variant>
      <vt:variant>
        <vt:lpwstr/>
      </vt:variant>
      <vt:variant>
        <vt:lpwstr>_Toc245631376</vt:lpwstr>
      </vt:variant>
      <vt:variant>
        <vt:i4>1245239</vt:i4>
      </vt:variant>
      <vt:variant>
        <vt:i4>8</vt:i4>
      </vt:variant>
      <vt:variant>
        <vt:i4>0</vt:i4>
      </vt:variant>
      <vt:variant>
        <vt:i4>5</vt:i4>
      </vt:variant>
      <vt:variant>
        <vt:lpwstr/>
      </vt:variant>
      <vt:variant>
        <vt:lpwstr>_Toc245631375</vt:lpwstr>
      </vt:variant>
      <vt:variant>
        <vt:i4>1245239</vt:i4>
      </vt:variant>
      <vt:variant>
        <vt:i4>2</vt:i4>
      </vt:variant>
      <vt:variant>
        <vt:i4>0</vt:i4>
      </vt:variant>
      <vt:variant>
        <vt:i4>5</vt:i4>
      </vt:variant>
      <vt:variant>
        <vt:lpwstr/>
      </vt:variant>
      <vt:variant>
        <vt:lpwstr>_Toc245631374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JennyF</dc:creator>
  <cp:keywords/>
  <dc:description/>
  <cp:lastModifiedBy>Leung, Stella (HK)</cp:lastModifiedBy>
  <cp:revision>21</cp:revision>
  <cp:lastPrinted>2018-11-21T06:18:00Z</cp:lastPrinted>
  <dcterms:created xsi:type="dcterms:W3CDTF">2018-11-29T10:24:00Z</dcterms:created>
  <dcterms:modified xsi:type="dcterms:W3CDTF">2018-11-30T09:11:00Z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